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93D" w:rsidRPr="0083193D" w:rsidRDefault="0083193D" w:rsidP="0083193D">
      <w:pPr>
        <w:pStyle w:val="PlainText"/>
        <w:rPr>
          <w:b/>
        </w:rPr>
      </w:pPr>
      <w:r w:rsidRPr="0083193D">
        <w:rPr>
          <w:b/>
        </w:rPr>
        <w:t>Phase 1</w:t>
      </w:r>
    </w:p>
    <w:p w:rsidR="0083193D" w:rsidRDefault="0083193D" w:rsidP="0083193D">
      <w:pPr>
        <w:pStyle w:val="PlainText"/>
        <w:numPr>
          <w:ilvl w:val="0"/>
          <w:numId w:val="2"/>
        </w:numPr>
      </w:pPr>
      <w:r w:rsidRPr="0083193D">
        <w:t>Define the high-level r</w:t>
      </w:r>
      <w:r w:rsidRPr="0083193D">
        <w:t>oadmap</w:t>
      </w:r>
    </w:p>
    <w:p w:rsidR="0083193D" w:rsidRDefault="0083193D" w:rsidP="0083193D">
      <w:pPr>
        <w:pStyle w:val="PlainText"/>
        <w:numPr>
          <w:ilvl w:val="0"/>
          <w:numId w:val="2"/>
        </w:numPr>
      </w:pPr>
      <w:r>
        <w:t>End user facing documentation</w:t>
      </w:r>
    </w:p>
    <w:p w:rsidR="0083193D" w:rsidRDefault="0083193D" w:rsidP="0083193D">
      <w:pPr>
        <w:pStyle w:val="PlainText"/>
        <w:numPr>
          <w:ilvl w:val="1"/>
          <w:numId w:val="2"/>
        </w:numPr>
      </w:pPr>
      <w:r>
        <w:t>CDM Extension</w:t>
      </w:r>
    </w:p>
    <w:p w:rsidR="0083193D" w:rsidRDefault="0083193D" w:rsidP="0083193D">
      <w:pPr>
        <w:pStyle w:val="PlainText"/>
        <w:numPr>
          <w:ilvl w:val="2"/>
          <w:numId w:val="2"/>
        </w:numPr>
      </w:pPr>
      <w:r>
        <w:t xml:space="preserve">Description of the conceptual model </w:t>
      </w:r>
    </w:p>
    <w:p w:rsidR="0083193D" w:rsidRDefault="0083193D" w:rsidP="0083193D">
      <w:pPr>
        <w:pStyle w:val="PlainText"/>
        <w:numPr>
          <w:ilvl w:val="2"/>
          <w:numId w:val="2"/>
        </w:numPr>
      </w:pPr>
      <w:r>
        <w:t>Vocabulary</w:t>
      </w:r>
    </w:p>
    <w:p w:rsidR="0083193D" w:rsidRDefault="0083193D" w:rsidP="0083193D">
      <w:pPr>
        <w:pStyle w:val="PlainText"/>
        <w:numPr>
          <w:ilvl w:val="2"/>
          <w:numId w:val="2"/>
        </w:numPr>
      </w:pPr>
      <w:r>
        <w:t>DDL</w:t>
      </w:r>
      <w:r w:rsidR="00D224FF">
        <w:t xml:space="preserve"> </w:t>
      </w:r>
      <w:r w:rsidR="00D224FF">
        <w:t>and documentation of each table/field name</w:t>
      </w:r>
    </w:p>
    <w:p w:rsidR="0083193D" w:rsidRDefault="0083193D" w:rsidP="0083193D">
      <w:pPr>
        <w:pStyle w:val="PlainText"/>
        <w:numPr>
          <w:ilvl w:val="2"/>
          <w:numId w:val="2"/>
        </w:numPr>
      </w:pPr>
      <w:r>
        <w:t>Document NAACCR ETL process (pre and post). #152</w:t>
      </w:r>
    </w:p>
    <w:p w:rsidR="0083193D" w:rsidRDefault="0083193D" w:rsidP="0083193D">
      <w:pPr>
        <w:pStyle w:val="PlainText"/>
        <w:numPr>
          <w:ilvl w:val="1"/>
          <w:numId w:val="2"/>
        </w:numPr>
      </w:pPr>
      <w:r>
        <w:t>ETL Process</w:t>
      </w:r>
    </w:p>
    <w:p w:rsidR="0083193D" w:rsidRDefault="0083193D" w:rsidP="0083193D">
      <w:pPr>
        <w:pStyle w:val="PlainText"/>
        <w:numPr>
          <w:ilvl w:val="2"/>
          <w:numId w:val="2"/>
        </w:numPr>
      </w:pPr>
      <w:r>
        <w:t>Conversion s</w:t>
      </w:r>
      <w:r>
        <w:t>teps</w:t>
      </w:r>
    </w:p>
    <w:p w:rsidR="0083193D" w:rsidRDefault="0083193D" w:rsidP="0083193D">
      <w:pPr>
        <w:pStyle w:val="PlainText"/>
        <w:ind w:left="1440" w:firstLine="720"/>
      </w:pPr>
      <w:r>
        <w:t>Document code to pivot NAACCR flat file the NAACCR input format. #167</w:t>
      </w:r>
    </w:p>
    <w:p w:rsidR="0083193D" w:rsidRDefault="0083193D" w:rsidP="0083193D">
      <w:pPr>
        <w:pStyle w:val="PlainText"/>
        <w:numPr>
          <w:ilvl w:val="1"/>
          <w:numId w:val="2"/>
        </w:numPr>
      </w:pPr>
      <w:bookmarkStart w:id="0" w:name="_GoBack"/>
      <w:bookmarkEnd w:id="0"/>
      <w:r>
        <w:t>Testing</w:t>
      </w:r>
    </w:p>
    <w:p w:rsidR="0083193D" w:rsidRDefault="0083193D" w:rsidP="0083193D">
      <w:pPr>
        <w:pStyle w:val="PlainText"/>
        <w:numPr>
          <w:ilvl w:val="2"/>
          <w:numId w:val="2"/>
        </w:numPr>
      </w:pPr>
      <w:r>
        <w:t>Unit Testing</w:t>
      </w:r>
    </w:p>
    <w:p w:rsidR="0083193D" w:rsidRDefault="0083193D" w:rsidP="0083193D">
      <w:pPr>
        <w:pStyle w:val="PlainText"/>
        <w:numPr>
          <w:ilvl w:val="2"/>
          <w:numId w:val="2"/>
        </w:numPr>
      </w:pPr>
      <w:r>
        <w:t>Use Case Testing (Analytic package)</w:t>
      </w:r>
    </w:p>
    <w:p w:rsidR="0083193D" w:rsidRDefault="0083193D" w:rsidP="0083193D">
      <w:pPr>
        <w:pStyle w:val="PlainText"/>
        <w:ind w:left="1800"/>
      </w:pPr>
    </w:p>
    <w:p w:rsidR="0083193D" w:rsidRPr="0083193D" w:rsidRDefault="0083193D" w:rsidP="0083193D">
      <w:pPr>
        <w:pStyle w:val="PlainText"/>
        <w:ind w:firstLine="720"/>
      </w:pPr>
    </w:p>
    <w:p w:rsidR="0083193D" w:rsidRPr="00A147A5" w:rsidRDefault="0083193D" w:rsidP="0083193D">
      <w:pPr>
        <w:pStyle w:val="PlainText"/>
      </w:pPr>
      <w:r w:rsidRPr="00A147A5">
        <w:tab/>
      </w:r>
    </w:p>
    <w:p w:rsidR="0083193D" w:rsidRDefault="0083193D" w:rsidP="0083193D">
      <w:pPr>
        <w:pStyle w:val="PlainText"/>
        <w:rPr>
          <w:b/>
        </w:rPr>
      </w:pPr>
      <w:r w:rsidRPr="0083193D">
        <w:rPr>
          <w:b/>
        </w:rPr>
        <w:t>Phase 2</w:t>
      </w:r>
    </w:p>
    <w:p w:rsidR="0083193D" w:rsidRDefault="0083193D" w:rsidP="0083193D">
      <w:pPr>
        <w:pStyle w:val="PlainText"/>
        <w:numPr>
          <w:ilvl w:val="0"/>
          <w:numId w:val="3"/>
        </w:numPr>
      </w:pPr>
      <w:r w:rsidRPr="0083193D">
        <w:t>Roadmap for non-NAACCR ETL</w:t>
      </w:r>
    </w:p>
    <w:p w:rsidR="0083193D" w:rsidRDefault="0083193D" w:rsidP="0083193D">
      <w:pPr>
        <w:pStyle w:val="PlainText"/>
        <w:numPr>
          <w:ilvl w:val="0"/>
          <w:numId w:val="3"/>
        </w:numPr>
      </w:pPr>
      <w:r>
        <w:t xml:space="preserve">Create documentation to support the Oncology Extension Proposal (Publication) </w:t>
      </w:r>
    </w:p>
    <w:p w:rsidR="0083193D" w:rsidRDefault="0083193D" w:rsidP="0083193D">
      <w:pPr>
        <w:pStyle w:val="PlainText"/>
        <w:numPr>
          <w:ilvl w:val="0"/>
          <w:numId w:val="3"/>
        </w:numPr>
      </w:pPr>
      <w:r>
        <w:t>Develop tutorial for oncology extension. #121</w:t>
      </w:r>
    </w:p>
    <w:p w:rsidR="0083193D" w:rsidRDefault="0083193D" w:rsidP="0083193D">
      <w:pPr>
        <w:pStyle w:val="PlainText"/>
        <w:numPr>
          <w:ilvl w:val="0"/>
          <w:numId w:val="3"/>
        </w:numPr>
      </w:pPr>
      <w:r>
        <w:t xml:space="preserve">Create documentation for the ICDO concept decisions and vital status #200 </w:t>
      </w:r>
    </w:p>
    <w:p w:rsidR="0083193D" w:rsidRDefault="0083193D" w:rsidP="0083193D">
      <w:pPr>
        <w:pStyle w:val="PlainText"/>
        <w:numPr>
          <w:ilvl w:val="0"/>
          <w:numId w:val="3"/>
        </w:numPr>
      </w:pPr>
      <w:r>
        <w:t>NAACCR Ingestion methodology</w:t>
      </w:r>
    </w:p>
    <w:p w:rsidR="0083193D" w:rsidRDefault="0083193D" w:rsidP="0083193D">
      <w:pPr>
        <w:pStyle w:val="PlainText"/>
        <w:numPr>
          <w:ilvl w:val="0"/>
          <w:numId w:val="3"/>
        </w:numPr>
      </w:pPr>
      <w:r>
        <w:t xml:space="preserve">CAP Ingestion </w:t>
      </w:r>
    </w:p>
    <w:p w:rsidR="0083193D" w:rsidRDefault="0083193D" w:rsidP="0083193D">
      <w:pPr>
        <w:pStyle w:val="PlainText"/>
        <w:numPr>
          <w:ilvl w:val="0"/>
          <w:numId w:val="3"/>
        </w:numPr>
      </w:pPr>
      <w:r>
        <w:t>Vocabulary driven ingestion from NAACR to OMOP</w:t>
      </w:r>
    </w:p>
    <w:p w:rsidR="0083193D" w:rsidRDefault="0083193D" w:rsidP="0083193D">
      <w:pPr>
        <w:pStyle w:val="PlainText"/>
        <w:numPr>
          <w:ilvl w:val="0"/>
          <w:numId w:val="3"/>
        </w:numPr>
      </w:pPr>
      <w:r>
        <w:t>DQ checks</w:t>
      </w:r>
    </w:p>
    <w:p w:rsidR="0083193D" w:rsidRDefault="0083193D" w:rsidP="0083193D">
      <w:pPr>
        <w:pStyle w:val="PlainText"/>
      </w:pPr>
    </w:p>
    <w:p w:rsidR="004729BA" w:rsidRDefault="00D224FF"/>
    <w:sectPr w:rsidR="00472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6608"/>
    <w:multiLevelType w:val="hybridMultilevel"/>
    <w:tmpl w:val="AE6E3A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B1021D"/>
    <w:multiLevelType w:val="hybridMultilevel"/>
    <w:tmpl w:val="32F2D24C"/>
    <w:lvl w:ilvl="0" w:tplc="EE34E5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F51"/>
    <w:multiLevelType w:val="hybridMultilevel"/>
    <w:tmpl w:val="AE6E3A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3D"/>
    <w:rsid w:val="002D44E0"/>
    <w:rsid w:val="004806C8"/>
    <w:rsid w:val="005F5897"/>
    <w:rsid w:val="0083193D"/>
    <w:rsid w:val="00AD129B"/>
    <w:rsid w:val="00D2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59853"/>
  <w15:chartTrackingRefBased/>
  <w15:docId w15:val="{E4EB3432-BCD3-43EC-96FE-D16E043F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3193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193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Ratwani, Shilpa</dc:creator>
  <cp:keywords/>
  <dc:description/>
  <cp:lastModifiedBy>Ratwani, Shilpa</cp:lastModifiedBy>
  <cp:revision>2</cp:revision>
  <dcterms:created xsi:type="dcterms:W3CDTF">2019-12-05T21:11:00Z</dcterms:created>
  <dcterms:modified xsi:type="dcterms:W3CDTF">2019-12-05T21:20:00Z</dcterms:modified>
</cp:coreProperties>
</file>