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2A" w:rsidRDefault="00BE462A" w:rsidP="00BE462A">
      <w:pPr>
        <w:pStyle w:val="Heading1"/>
      </w:pPr>
      <w:r>
        <w:t>Notes of the joint PLP/PLE workgroup meetings</w:t>
      </w:r>
    </w:p>
    <w:p w:rsidR="00FD2426" w:rsidRDefault="002B36FC">
      <w:r>
        <w:t xml:space="preserve">Present: Nicole, Teng, Seng Chan, Jason, Martijn, </w:t>
      </w:r>
      <w:proofErr w:type="spellStart"/>
      <w:r>
        <w:t>Jutendra</w:t>
      </w:r>
      <w:proofErr w:type="spellEnd"/>
      <w:r>
        <w:t xml:space="preserve"> </w:t>
      </w:r>
      <w:proofErr w:type="spellStart"/>
      <w:r>
        <w:t>Jonnagaddala</w:t>
      </w:r>
      <w:proofErr w:type="spellEnd"/>
    </w:p>
    <w:p w:rsidR="002B36FC" w:rsidRDefault="002B36FC">
      <w:r>
        <w:t>February 5, 2020</w:t>
      </w:r>
    </w:p>
    <w:p w:rsidR="002B36FC" w:rsidRDefault="002B36FC">
      <w:r>
        <w:t>Teng presents on data quality issue before and after ETL</w:t>
      </w:r>
    </w:p>
    <w:p w:rsidR="002B36FC" w:rsidRDefault="002B36FC" w:rsidP="002B36FC">
      <w:pPr>
        <w:pStyle w:val="ListParagraph"/>
        <w:numPr>
          <w:ilvl w:val="0"/>
          <w:numId w:val="1"/>
        </w:numPr>
      </w:pPr>
      <w:r>
        <w:t>ETL of specific cohorts at a time</w:t>
      </w:r>
    </w:p>
    <w:p w:rsidR="002B36FC" w:rsidRDefault="002B36FC" w:rsidP="002B36FC">
      <w:pPr>
        <w:pStyle w:val="ListParagraph"/>
        <w:numPr>
          <w:ilvl w:val="0"/>
          <w:numId w:val="1"/>
        </w:numPr>
      </w:pPr>
      <w:r>
        <w:t>Uses DQ measures as proposed by Kahn</w:t>
      </w:r>
      <w:r w:rsidR="0071184A">
        <w:t xml:space="preserve"> (Choose one from each dimension)</w:t>
      </w:r>
    </w:p>
    <w:p w:rsidR="0071184A" w:rsidRDefault="0071184A" w:rsidP="002B36FC">
      <w:pPr>
        <w:pStyle w:val="ListParagraph"/>
        <w:numPr>
          <w:ilvl w:val="0"/>
          <w:numId w:val="1"/>
        </w:numPr>
      </w:pPr>
      <w:r>
        <w:t>Can link across sites using unique universal patient IDs?</w:t>
      </w:r>
    </w:p>
    <w:p w:rsidR="0071184A" w:rsidRDefault="002C3014" w:rsidP="002B36FC">
      <w:pPr>
        <w:pStyle w:val="ListParagraph"/>
        <w:numPr>
          <w:ilvl w:val="0"/>
          <w:numId w:val="1"/>
        </w:numPr>
      </w:pPr>
      <w:r>
        <w:t xml:space="preserve">Prescriptions could appear twice in source data: </w:t>
      </w:r>
      <w:r w:rsidR="00443F97">
        <w:t>prescription and repeat prescription</w:t>
      </w:r>
    </w:p>
    <w:p w:rsidR="00443F97" w:rsidRDefault="00443F97" w:rsidP="002B36FC">
      <w:pPr>
        <w:pStyle w:val="ListParagraph"/>
        <w:numPr>
          <w:ilvl w:val="0"/>
          <w:numId w:val="1"/>
        </w:numPr>
      </w:pPr>
      <w:r>
        <w:t>Need concepts to be added to the vocab for races and ethnicities in Australia. Martijn will point Teng to where to request this</w:t>
      </w:r>
    </w:p>
    <w:p w:rsidR="00F96CB8" w:rsidRDefault="00F96CB8" w:rsidP="00F96CB8"/>
    <w:p w:rsidR="00F96CB8" w:rsidRDefault="00F96CB8" w:rsidP="00F96CB8">
      <w:r>
        <w:t>Seng Chan</w:t>
      </w:r>
      <w:r w:rsidR="00A918B4">
        <w:t xml:space="preserve"> presents on sensitivity analysis + feasibility analysis</w:t>
      </w:r>
    </w:p>
    <w:p w:rsidR="00A918B4" w:rsidRDefault="00A918B4" w:rsidP="00A918B4">
      <w:pPr>
        <w:pStyle w:val="ListParagraph"/>
        <w:numPr>
          <w:ilvl w:val="0"/>
          <w:numId w:val="1"/>
        </w:numPr>
      </w:pPr>
      <w:r>
        <w:t>Sensitivity analysis: how uncertainty in output can be divided into uncertainty in its input</w:t>
      </w:r>
    </w:p>
    <w:p w:rsidR="00A918B4" w:rsidRDefault="00A918B4" w:rsidP="00A918B4">
      <w:pPr>
        <w:pStyle w:val="ListParagraph"/>
        <w:numPr>
          <w:ilvl w:val="0"/>
          <w:numId w:val="1"/>
        </w:numPr>
      </w:pPr>
      <w:r>
        <w:t>Ticagrelor used 144 different analyses</w:t>
      </w:r>
    </w:p>
    <w:p w:rsidR="00456750" w:rsidRDefault="00456750" w:rsidP="00A918B4">
      <w:pPr>
        <w:pStyle w:val="ListParagraph"/>
        <w:numPr>
          <w:ilvl w:val="0"/>
          <w:numId w:val="1"/>
        </w:numPr>
      </w:pPr>
      <w:proofErr w:type="spellStart"/>
      <w:r>
        <w:t>Feasbility</w:t>
      </w:r>
      <w:proofErr w:type="spellEnd"/>
      <w:r>
        <w:t xml:space="preserve"> for Ranitidine cancer risk. Includes MDRR, proportionality assumption. See ohdsi-studies</w:t>
      </w:r>
      <w:bookmarkStart w:id="0" w:name="_GoBack"/>
      <w:bookmarkEnd w:id="0"/>
    </w:p>
    <w:sectPr w:rsidR="00456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7218F"/>
    <w:multiLevelType w:val="hybridMultilevel"/>
    <w:tmpl w:val="0728F824"/>
    <w:lvl w:ilvl="0" w:tplc="205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C"/>
    <w:rsid w:val="002B36FC"/>
    <w:rsid w:val="002C3014"/>
    <w:rsid w:val="00443F97"/>
    <w:rsid w:val="00456750"/>
    <w:rsid w:val="00473239"/>
    <w:rsid w:val="0071184A"/>
    <w:rsid w:val="00A918B4"/>
    <w:rsid w:val="00BE462A"/>
    <w:rsid w:val="00F96CB8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7D92"/>
  <w15:chartTrackingRefBased/>
  <w15:docId w15:val="{45FE191B-B3F1-49AA-A8FB-69B172E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6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5</cp:revision>
  <dcterms:created xsi:type="dcterms:W3CDTF">2020-02-05T07:04:00Z</dcterms:created>
  <dcterms:modified xsi:type="dcterms:W3CDTF">2020-02-05T08:24:00Z</dcterms:modified>
</cp:coreProperties>
</file>