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123fmq70bpn0" w:id="0"/>
      <w:bookmarkEnd w:id="0"/>
      <w:r w:rsidDel="00000000" w:rsidR="00000000" w:rsidRPr="00000000">
        <w:rPr>
          <w:b w:val="1"/>
          <w:rtl w:val="0"/>
        </w:rPr>
        <w:t xml:space="preserve">Characterization of Oral</w:t>
      </w:r>
      <w:r w:rsidDel="00000000" w:rsidR="00000000" w:rsidRPr="00000000">
        <w:rPr>
          <w:rtl w:val="0"/>
        </w:rPr>
        <w:t xml:space="preserve"> </w:t>
      </w:r>
      <w:r w:rsidDel="00000000" w:rsidR="00000000" w:rsidRPr="00000000">
        <w:rPr>
          <w:b w:val="1"/>
          <w:rtl w:val="0"/>
        </w:rPr>
        <w:t xml:space="preserve">Antibiotics for Acne Treatment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Authors:</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Project leads</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Robert P. Dellavalle</w:t>
      </w:r>
    </w:p>
    <w:p w:rsidR="00000000" w:rsidDel="00000000" w:rsidP="00000000" w:rsidRDefault="00000000" w:rsidRPr="00000000">
      <w:pPr>
        <w:contextualSpacing w:val="0"/>
      </w:pPr>
      <w:r w:rsidDel="00000000" w:rsidR="00000000" w:rsidRPr="00000000">
        <w:rPr>
          <w:rtl w:val="0"/>
        </w:rPr>
        <w:t xml:space="preserve">Lisa M. Schilling</w:t>
      </w:r>
    </w:p>
    <w:p w:rsidR="00000000" w:rsidDel="00000000" w:rsidP="00000000" w:rsidRDefault="00000000" w:rsidRPr="00000000">
      <w:pPr>
        <w:contextualSpacing w:val="0"/>
      </w:pPr>
      <w:r w:rsidDel="00000000" w:rsidR="00000000" w:rsidRPr="00000000">
        <w:rPr>
          <w:b w:val="1"/>
          <w:i w:val="1"/>
          <w:rtl w:val="0"/>
        </w:rPr>
        <w:t xml:space="preserve">Collaborators: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John Barbieri</w:t>
      </w:r>
    </w:p>
    <w:p w:rsidR="00000000" w:rsidDel="00000000" w:rsidP="00000000" w:rsidRDefault="00000000" w:rsidRPr="00000000">
      <w:pPr>
        <w:contextualSpacing w:val="0"/>
      </w:pPr>
      <w:r w:rsidDel="00000000" w:rsidR="00000000" w:rsidRPr="00000000">
        <w:rPr>
          <w:rtl w:val="0"/>
        </w:rPr>
        <w:t xml:space="preserve">Stephanie Chapman</w:t>
      </w:r>
    </w:p>
    <w:p w:rsidR="00000000" w:rsidDel="00000000" w:rsidP="00000000" w:rsidRDefault="00000000" w:rsidRPr="00000000">
      <w:pPr>
        <w:contextualSpacing w:val="0"/>
      </w:pPr>
      <w:r w:rsidDel="00000000" w:rsidR="00000000" w:rsidRPr="00000000">
        <w:rPr>
          <w:rtl w:val="0"/>
        </w:rPr>
        <w:t xml:space="preserve">Renee Domozych</w:t>
      </w:r>
    </w:p>
    <w:p w:rsidR="00000000" w:rsidDel="00000000" w:rsidP="00000000" w:rsidRDefault="00000000" w:rsidRPr="00000000">
      <w:pPr>
        <w:contextualSpacing w:val="0"/>
      </w:pPr>
      <w:r w:rsidDel="00000000" w:rsidR="00000000" w:rsidRPr="00000000">
        <w:rPr>
          <w:rtl w:val="0"/>
        </w:rPr>
        <w:t xml:space="preserve">Chante Karimkhani </w:t>
      </w:r>
    </w:p>
    <w:p w:rsidR="00000000" w:rsidDel="00000000" w:rsidP="00000000" w:rsidRDefault="00000000" w:rsidRPr="00000000">
      <w:pPr>
        <w:contextualSpacing w:val="0"/>
      </w:pPr>
      <w:r w:rsidDel="00000000" w:rsidR="00000000" w:rsidRPr="00000000">
        <w:rPr>
          <w:rtl w:val="0"/>
        </w:rPr>
        <w:t xml:space="preserve">Chris Knoll</w:t>
      </w:r>
    </w:p>
    <w:p w:rsidR="00000000" w:rsidDel="00000000" w:rsidP="00000000" w:rsidRDefault="00000000" w:rsidRPr="00000000">
      <w:pPr>
        <w:contextualSpacing w:val="0"/>
      </w:pPr>
      <w:r w:rsidDel="00000000" w:rsidR="00000000" w:rsidRPr="00000000">
        <w:rPr>
          <w:rtl w:val="0"/>
        </w:rPr>
        <w:t xml:space="preserve">David Margolis</w:t>
      </w:r>
    </w:p>
    <w:p w:rsidR="00000000" w:rsidDel="00000000" w:rsidP="00000000" w:rsidRDefault="00000000" w:rsidRPr="00000000">
      <w:pPr>
        <w:contextualSpacing w:val="0"/>
      </w:pPr>
      <w:r w:rsidDel="00000000" w:rsidR="00000000" w:rsidRPr="00000000">
        <w:rPr>
          <w:rtl w:val="0"/>
        </w:rPr>
        <w:t xml:space="preserve">Jessica Mounessa</w:t>
      </w:r>
    </w:p>
    <w:p w:rsidR="00000000" w:rsidDel="00000000" w:rsidP="00000000" w:rsidRDefault="00000000" w:rsidRPr="00000000">
      <w:pPr>
        <w:contextualSpacing w:val="0"/>
      </w:pPr>
      <w:r w:rsidDel="00000000" w:rsidR="00000000" w:rsidRPr="00000000">
        <w:rPr>
          <w:rtl w:val="0"/>
        </w:rPr>
        <w:t xml:space="preserve">Patrick Ryan</w:t>
      </w:r>
    </w:p>
    <w:p w:rsidR="00000000" w:rsidDel="00000000" w:rsidP="00000000" w:rsidRDefault="00000000" w:rsidRPr="00000000">
      <w:pPr>
        <w:contextualSpacing w:val="0"/>
      </w:pPr>
      <w:r w:rsidDel="00000000" w:rsidR="00000000" w:rsidRPr="00000000">
        <w:rPr>
          <w:rtl w:val="0"/>
        </w:rPr>
        <w:t xml:space="preserve">Martijn Schuemie</w:t>
      </w:r>
    </w:p>
    <w:p w:rsidR="00000000" w:rsidDel="00000000" w:rsidP="00000000" w:rsidRDefault="00000000" w:rsidRPr="00000000">
      <w:pPr>
        <w:contextualSpacing w:val="0"/>
      </w:pPr>
      <w:r w:rsidDel="00000000" w:rsidR="00000000" w:rsidRPr="00000000">
        <w:rPr>
          <w:rtl w:val="0"/>
        </w:rPr>
        <w:t xml:space="preserve">Jonathan Silverberg</w:t>
      </w:r>
    </w:p>
    <w:p w:rsidR="00000000" w:rsidDel="00000000" w:rsidP="00000000" w:rsidRDefault="00000000" w:rsidRPr="00000000">
      <w:pPr>
        <w:contextualSpacing w:val="0"/>
      </w:pPr>
      <w:r w:rsidDel="00000000" w:rsidR="00000000" w:rsidRPr="00000000">
        <w:rPr>
          <w:rtl w:val="0"/>
        </w:rPr>
        <w:t xml:space="preserve">James Tanis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Date: 8 November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Disclosures: </w:t>
      </w:r>
      <w:r w:rsidDel="00000000" w:rsidR="00000000" w:rsidRPr="00000000">
        <w:rPr>
          <w:rtl w:val="0"/>
        </w:rPr>
        <w:t xml:space="preserve">None.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1. Objectives: </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We aim to characterize 1) the use of oral antibiotics for the treatment of acne in children and adolescents and 2) guideline compliance of current clinical practice around the world.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2. Rationale: </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Acne is a common and disabling medical problem, especially among adolescents.[1] Guidelines established by the American Academy of Dermatology (AAD) recommend to minimize the duration of systemic antibiotics for the management of acne ideally to 3-4 months and no longer than 6 months in order to decrease risk of resistance.[1] A recent systematic review demonstrated that over 50% of P acnes strains are reported as resistant in all major regions of the world.[2] In addition to promoting resistance, long-term oral antibiotic use has been associated with a number of adverse events including microbiome disruption and pharyngitis, and possible associations with inflammatory bowel disease and obesity.[3] Despite these adverse effects, oral antibiotics are often prescribed for acne for longer durations than acne guidelines recommend.[3] A large retrospective cohort study of teenagers in the UK revealed that 29% of antibiotic courses prescribed by general practitioners exceeded 6 months in duration.[3] OHDSI network evidence will identify areas of the globe most in need of improving guideline concordance.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3. Research questions: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rtl w:val="0"/>
        </w:rPr>
        <w:t xml:space="preserve">We hypothesize that the type and duration of oral antibiotic therapy will vary and course duration will exceed guideline recommendations.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4. Research Methods: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i w:val="1"/>
          <w:rtl w:val="0"/>
        </w:rPr>
        <w:t xml:space="preserve">Study Design: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This study will be a retrospective, observational, cohort study. Outcomes of interest are the 1) type of antibiotic prescribed and 2) duration of oral antibiotic therapy among patients with acne.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A course of oral antibiotics for acne will be defined by a prescription for at least 30 days in patients with a prior diagnosis of acne. Start date of therapy will be defined as the date of first prescription. End date of therapy will be defined as the date of last prescription in series plus the number of days the medication was supplied.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i w:val="1"/>
          <w:rtl w:val="0"/>
        </w:rPr>
        <w:t xml:space="preserve">Data Sources: </w:t>
      </w:r>
      <w:commentRangeStart w:id="0"/>
      <w:commentRangeStart w:id="1"/>
      <w:r w:rsidDel="00000000" w:rsidR="00000000" w:rsidRPr="00000000">
        <w:rPr>
          <w:b w:val="1"/>
          <w:i w:val="1"/>
          <w:rtl w:val="0"/>
        </w:rPr>
        <w:t xml:space="preserve">TBD</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pPr>
        <w:numPr>
          <w:ilvl w:val="0"/>
          <w:numId w:val="5"/>
        </w:numPr>
        <w:spacing w:line="240" w:lineRule="auto"/>
        <w:ind w:left="720" w:hanging="360"/>
        <w:rPr/>
      </w:pPr>
      <w:r w:rsidDel="00000000" w:rsidR="00000000" w:rsidRPr="00000000">
        <w:rPr>
          <w:rtl w:val="0"/>
        </w:rPr>
        <w:t xml:space="preserve">Electronic Health Record (EHR) –TBD if valid source  </w:t>
      </w:r>
    </w:p>
    <w:p w:rsidR="00000000" w:rsidDel="00000000" w:rsidP="00000000" w:rsidRDefault="00000000" w:rsidRPr="00000000">
      <w:pPr>
        <w:numPr>
          <w:ilvl w:val="0"/>
          <w:numId w:val="5"/>
        </w:numPr>
        <w:spacing w:line="240" w:lineRule="auto"/>
        <w:ind w:left="720" w:hanging="360"/>
        <w:rPr>
          <w:color w:val="1d3347"/>
        </w:rPr>
      </w:pPr>
      <w:r w:rsidDel="00000000" w:rsidR="00000000" w:rsidRPr="00000000">
        <w:rPr>
          <w:rtl w:val="0"/>
        </w:rPr>
        <w:t xml:space="preserve">Claims-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CPRD (UK),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JMDC (Japan),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Optum (US),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Truven Commercial Claims and Encounters (CCAE) (US)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Truven Medicaid (US), </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France?</w:t>
      </w:r>
      <w:r w:rsidDel="00000000" w:rsidR="00000000" w:rsidRPr="00000000">
        <w:rPr>
          <w:rtl w:val="0"/>
        </w:rPr>
      </w:r>
    </w:p>
    <w:p w:rsidR="00000000" w:rsidDel="00000000" w:rsidP="00000000" w:rsidRDefault="00000000" w:rsidRPr="00000000">
      <w:pPr>
        <w:numPr>
          <w:ilvl w:val="1"/>
          <w:numId w:val="5"/>
        </w:numPr>
        <w:spacing w:line="240" w:lineRule="auto"/>
        <w:ind w:left="1440" w:hanging="360"/>
        <w:rPr>
          <w:color w:val="1d3347"/>
        </w:rPr>
      </w:pPr>
      <w:r w:rsidDel="00000000" w:rsidR="00000000" w:rsidRPr="00000000">
        <w:rPr>
          <w:rtl w:val="0"/>
        </w:rPr>
        <w:t xml:space="preserve">Germany?</w:t>
      </w:r>
      <w:r w:rsidDel="00000000" w:rsidR="00000000" w:rsidRPr="00000000">
        <w:rPr>
          <w:rtl w:val="0"/>
        </w:rPr>
      </w:r>
    </w:p>
    <w:p w:rsidR="00000000" w:rsidDel="00000000" w:rsidP="00000000" w:rsidRDefault="00000000" w:rsidRPr="00000000">
      <w:pPr>
        <w:spacing w:line="240" w:lineRule="auto"/>
        <w:ind w:left="1080" w:firstLine="0"/>
        <w:contextualSpacing w:val="0"/>
      </w:pPr>
      <w:r w:rsidDel="00000000" w:rsidR="00000000" w:rsidRPr="00000000">
        <w:rPr>
          <w:rtl w:val="0"/>
        </w:rPr>
        <w:t xml:space="preserve">TBD</w:t>
      </w:r>
    </w:p>
    <w:p w:rsidR="00000000" w:rsidDel="00000000" w:rsidP="00000000" w:rsidRDefault="00000000" w:rsidRPr="00000000">
      <w:pPr>
        <w:spacing w:line="240" w:lineRule="auto"/>
        <w:contextualSpacing w:val="0"/>
      </w:pPr>
      <w:r w:rsidDel="00000000" w:rsidR="00000000" w:rsidRPr="00000000">
        <w:rPr>
          <w:b w:val="1"/>
          <w:i w:val="1"/>
          <w:rtl w:val="0"/>
        </w:rPr>
        <w:t xml:space="preserve">Outcomes</w:t>
      </w: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b w:val="0"/>
          <w:color w:val="000000"/>
          <w:sz w:val="22"/>
          <w:szCs w:val="22"/>
        </w:rPr>
      </w:pPr>
      <w:r w:rsidDel="00000000" w:rsidR="00000000" w:rsidRPr="00000000">
        <w:rPr>
          <w:rFonts w:ascii="Arial" w:cs="Arial" w:eastAsia="Arial" w:hAnsi="Arial"/>
          <w:b w:val="0"/>
          <w:color w:val="000000"/>
          <w:sz w:val="22"/>
          <w:szCs w:val="22"/>
          <w:rtl w:val="0"/>
        </w:rPr>
        <w:t xml:space="preserve">Treatment with oral antibiotics among patients with acne</w:t>
      </w:r>
      <w:r w:rsidDel="00000000" w:rsidR="00000000" w:rsidRPr="00000000">
        <w:rPr>
          <w:rtl w:val="0"/>
        </w:rPr>
      </w:r>
    </w:p>
    <w:p w:rsidR="00000000" w:rsidDel="00000000" w:rsidP="00000000" w:rsidRDefault="00000000" w:rsidRPr="00000000">
      <w:pPr>
        <w:numPr>
          <w:ilvl w:val="0"/>
          <w:numId w:val="4"/>
        </w:numPr>
        <w:spacing w:after="0" w:before="0" w:line="276" w:lineRule="auto"/>
        <w:ind w:left="720" w:hanging="360"/>
        <w:contextualSpacing w:val="1"/>
        <w:rPr>
          <w:b w:val="0"/>
          <w:color w:val="000000"/>
          <w:sz w:val="22"/>
          <w:szCs w:val="22"/>
        </w:rPr>
      </w:pPr>
      <w:r w:rsidDel="00000000" w:rsidR="00000000" w:rsidRPr="00000000">
        <w:rPr>
          <w:rFonts w:ascii="Arial" w:cs="Arial" w:eastAsia="Arial" w:hAnsi="Arial"/>
          <w:b w:val="0"/>
          <w:color w:val="000000"/>
          <w:sz w:val="22"/>
          <w:szCs w:val="22"/>
          <w:rtl w:val="0"/>
        </w:rPr>
        <w:t xml:space="preserve">Type of antibiotic</w:t>
      </w:r>
      <w:r w:rsidDel="00000000" w:rsidR="00000000" w:rsidRPr="00000000">
        <w:rPr>
          <w:rtl w:val="0"/>
        </w:rPr>
      </w:r>
    </w:p>
    <w:p w:rsidR="00000000" w:rsidDel="00000000" w:rsidP="00000000" w:rsidRDefault="00000000" w:rsidRPr="00000000">
      <w:pPr>
        <w:numPr>
          <w:ilvl w:val="0"/>
          <w:numId w:val="4"/>
        </w:numPr>
        <w:spacing w:after="0" w:before="0" w:line="276" w:lineRule="auto"/>
        <w:ind w:left="720" w:hanging="360"/>
        <w:contextualSpacing w:val="1"/>
        <w:rPr>
          <w:b w:val="0"/>
          <w:color w:val="000000"/>
          <w:sz w:val="22"/>
          <w:szCs w:val="22"/>
        </w:rPr>
      </w:pPr>
      <w:r w:rsidDel="00000000" w:rsidR="00000000" w:rsidRPr="00000000">
        <w:rPr>
          <w:rFonts w:ascii="Arial" w:cs="Arial" w:eastAsia="Arial" w:hAnsi="Arial"/>
          <w:b w:val="0"/>
          <w:color w:val="000000"/>
          <w:sz w:val="22"/>
          <w:szCs w:val="22"/>
          <w:rtl w:val="0"/>
        </w:rPr>
        <w:t xml:space="preserve">Number and duration of therapeutic courses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i w:val="1"/>
          <w:rtl w:val="0"/>
        </w:rPr>
        <w:t xml:space="preserve">Study Population:</w:t>
      </w:r>
      <w:r w:rsidDel="00000000" w:rsidR="00000000" w:rsidRPr="00000000">
        <w:rPr>
          <w:rtl w:val="0"/>
        </w:rPr>
      </w:r>
    </w:p>
    <w:p w:rsidR="00000000" w:rsidDel="00000000" w:rsidP="00000000" w:rsidRDefault="00000000" w:rsidRPr="00000000">
      <w:pPr>
        <w:keepNext w:val="0"/>
        <w:keepLines w:val="0"/>
        <w:widowControl w:val="1"/>
        <w:numPr>
          <w:ilvl w:val="0"/>
          <w:numId w:val="5"/>
        </w:numPr>
        <w:spacing w:after="0" w:before="0" w:line="240" w:lineRule="auto"/>
        <w:ind w:left="720" w:right="0" w:hanging="360"/>
        <w:jc w:val="left"/>
        <w:rPr>
          <w:color w:val="1d3347"/>
        </w:rPr>
      </w:pPr>
      <w:r w:rsidDel="00000000" w:rsidR="00000000" w:rsidRPr="00000000">
        <w:rPr>
          <w:rtl w:val="0"/>
        </w:rPr>
        <w:t xml:space="preserve">Inclusion Criteria: </w:t>
      </w:r>
    </w:p>
    <w:p w:rsidR="00000000" w:rsidDel="00000000" w:rsidP="00000000" w:rsidRDefault="00000000" w:rsidRPr="00000000">
      <w:pPr>
        <w:keepNext w:val="0"/>
        <w:keepLines w:val="0"/>
        <w:widowControl w:val="1"/>
        <w:numPr>
          <w:ilvl w:val="1"/>
          <w:numId w:val="5"/>
        </w:numPr>
        <w:spacing w:after="0" w:before="0" w:line="240" w:lineRule="auto"/>
        <w:ind w:left="1440" w:right="0" w:firstLine="0"/>
        <w:jc w:val="left"/>
        <w:rPr>
          <w:color w:val="1d3347"/>
        </w:rPr>
      </w:pPr>
      <w:r w:rsidDel="00000000" w:rsidR="00000000" w:rsidRPr="00000000">
        <w:rPr>
          <w:rtl w:val="0"/>
        </w:rPr>
        <w:t xml:space="preserve">Patients between the ages 12-22 years at the start of the study (as of 1/1/2003) </w:t>
      </w:r>
    </w:p>
    <w:p w:rsidR="00000000" w:rsidDel="00000000" w:rsidP="00000000" w:rsidRDefault="00000000" w:rsidRPr="00000000">
      <w:pPr>
        <w:keepNext w:val="0"/>
        <w:keepLines w:val="0"/>
        <w:widowControl w:val="1"/>
        <w:numPr>
          <w:ilvl w:val="1"/>
          <w:numId w:val="5"/>
        </w:numPr>
        <w:spacing w:after="0" w:before="0" w:line="240" w:lineRule="auto"/>
        <w:ind w:left="1440" w:right="0" w:firstLine="0"/>
        <w:jc w:val="left"/>
        <w:rPr>
          <w:color w:val="1d3347"/>
        </w:rPr>
      </w:pPr>
      <w:r w:rsidDel="00000000" w:rsidR="00000000" w:rsidRPr="00000000">
        <w:rPr>
          <w:rtl w:val="0"/>
        </w:rPr>
        <w:t xml:space="preserve">With a diagnosis of acne as defined by OHDSI concept_IDs - TBD</w:t>
      </w:r>
    </w:p>
    <w:p w:rsidR="00000000" w:rsidDel="00000000" w:rsidP="00000000" w:rsidRDefault="00000000" w:rsidRPr="00000000">
      <w:pPr>
        <w:keepNext w:val="0"/>
        <w:keepLines w:val="0"/>
        <w:widowControl w:val="1"/>
        <w:numPr>
          <w:ilvl w:val="1"/>
          <w:numId w:val="5"/>
        </w:numPr>
        <w:spacing w:after="0" w:before="0" w:line="240" w:lineRule="auto"/>
        <w:ind w:left="1440" w:right="0" w:firstLine="1080"/>
        <w:jc w:val="left"/>
        <w:rPr>
          <w:color w:val="1d3347"/>
        </w:rPr>
      </w:pPr>
      <w:r w:rsidDel="00000000" w:rsidR="00000000" w:rsidRPr="00000000">
        <w:rPr>
          <w:rtl w:val="0"/>
        </w:rPr>
        <w:t xml:space="preserve"> ICD-9 and ICD-10 codes (ICD9: 706.1 (other acne); ICD10: L70.0 (acne vulgaris), L70.8 (other acne)) </w:t>
      </w:r>
    </w:p>
    <w:p w:rsidR="00000000" w:rsidDel="00000000" w:rsidP="00000000" w:rsidRDefault="00000000" w:rsidRPr="00000000">
      <w:pPr>
        <w:keepNext w:val="0"/>
        <w:keepLines w:val="0"/>
        <w:widowControl w:val="1"/>
        <w:numPr>
          <w:ilvl w:val="1"/>
          <w:numId w:val="5"/>
        </w:numPr>
        <w:spacing w:after="0" w:before="0" w:line="240" w:lineRule="auto"/>
        <w:ind w:left="1440" w:right="0" w:firstLine="0"/>
        <w:jc w:val="left"/>
        <w:rPr>
          <w:color w:val="1d3347"/>
        </w:rPr>
      </w:pPr>
      <w:r w:rsidDel="00000000" w:rsidR="00000000" w:rsidRPr="00000000">
        <w:rPr>
          <w:rtl w:val="0"/>
        </w:rPr>
        <w:t xml:space="preserve">and an antibiotic start date between 1/1/2003 and the present date. </w:t>
      </w:r>
      <w:r w:rsidDel="00000000" w:rsidR="00000000" w:rsidRPr="00000000">
        <w:rPr>
          <w:rtl w:val="0"/>
        </w:rPr>
      </w:r>
    </w:p>
    <w:p w:rsidR="00000000" w:rsidDel="00000000" w:rsidP="00000000" w:rsidRDefault="00000000" w:rsidRPr="00000000">
      <w:pPr>
        <w:numPr>
          <w:ilvl w:val="0"/>
          <w:numId w:val="2"/>
        </w:numPr>
        <w:spacing w:line="240" w:lineRule="auto"/>
        <w:ind w:left="720" w:hanging="360"/>
        <w:rPr/>
      </w:pPr>
      <w:r w:rsidDel="00000000" w:rsidR="00000000" w:rsidRPr="00000000">
        <w:rPr>
          <w:rtl w:val="0"/>
        </w:rPr>
        <w:t xml:space="preserve">Exclusion Criteria: </w:t>
      </w:r>
    </w:p>
    <w:p w:rsidR="00000000" w:rsidDel="00000000" w:rsidP="00000000" w:rsidRDefault="00000000" w:rsidRPr="00000000">
      <w:pPr>
        <w:numPr>
          <w:ilvl w:val="1"/>
          <w:numId w:val="2"/>
        </w:numPr>
        <w:spacing w:line="240" w:lineRule="auto"/>
        <w:ind w:left="1440" w:hanging="360"/>
        <w:rPr/>
      </w:pPr>
      <w:r w:rsidDel="00000000" w:rsidR="00000000" w:rsidRPr="00000000">
        <w:rPr>
          <w:rtl w:val="0"/>
        </w:rPr>
        <w:t xml:space="preserve">Oral antibiotic courses &gt; 5 years (TBD: Need more information from Drs. Barbieri and Margolis on how often this data was inaccurate in ref [2])</w:t>
      </w:r>
    </w:p>
    <w:p w:rsidR="00000000" w:rsidDel="00000000" w:rsidP="00000000" w:rsidRDefault="00000000" w:rsidRPr="00000000">
      <w:pPr>
        <w:numPr>
          <w:ilvl w:val="0"/>
          <w:numId w:val="2"/>
        </w:numPr>
        <w:spacing w:line="240" w:lineRule="auto"/>
        <w:ind w:left="720" w:hanging="360"/>
        <w:contextualSpacing w:val="1"/>
        <w:rPr>
          <w:u w:val="none"/>
        </w:rPr>
      </w:pPr>
      <w:r w:rsidDel="00000000" w:rsidR="00000000" w:rsidRPr="00000000">
        <w:rPr>
          <w:rtl w:val="0"/>
        </w:rPr>
        <w:t xml:space="preserve">Oral Antibiotic Criteria:</w:t>
      </w:r>
    </w:p>
    <w:p w:rsidR="00000000" w:rsidDel="00000000" w:rsidP="00000000" w:rsidRDefault="00000000" w:rsidRPr="00000000">
      <w:pPr>
        <w:numPr>
          <w:ilvl w:val="0"/>
          <w:numId w:val="2"/>
        </w:numPr>
        <w:spacing w:line="240" w:lineRule="auto"/>
        <w:ind w:left="720" w:firstLine="360"/>
        <w:contextualSpacing w:val="1"/>
        <w:rPr>
          <w:color w:val="1d3347"/>
        </w:rPr>
      </w:pPr>
      <w:r w:rsidDel="00000000" w:rsidR="00000000" w:rsidRPr="00000000">
        <w:rPr>
          <w:rFonts w:ascii="Arial Unicode MS" w:cs="Arial Unicode MS" w:eastAsia="Arial Unicode MS" w:hAnsi="Arial Unicode MS"/>
          <w:rtl w:val="0"/>
        </w:rPr>
        <w:t xml:space="preserve">Definition of a course of oral antibiotics ≥ 30 days</w:t>
      </w:r>
    </w:p>
    <w:p w:rsidR="00000000" w:rsidDel="00000000" w:rsidP="00000000" w:rsidRDefault="00000000" w:rsidRPr="00000000">
      <w:pPr>
        <w:numPr>
          <w:ilvl w:val="0"/>
          <w:numId w:val="2"/>
        </w:numPr>
        <w:spacing w:line="240" w:lineRule="auto"/>
        <w:ind w:left="720" w:firstLine="360"/>
        <w:contextualSpacing w:val="1"/>
        <w:rPr>
          <w:color w:val="1d3347"/>
        </w:rPr>
      </w:pPr>
      <w:r w:rsidDel="00000000" w:rsidR="00000000" w:rsidRPr="00000000">
        <w:rPr>
          <w:rtl w:val="0"/>
        </w:rPr>
        <w:t xml:space="preserve">Start date= date of first prescription (on or after 1/1/2003)</w:t>
      </w:r>
    </w:p>
    <w:p w:rsidR="00000000" w:rsidDel="00000000" w:rsidP="00000000" w:rsidRDefault="00000000" w:rsidRPr="00000000">
      <w:pPr>
        <w:numPr>
          <w:ilvl w:val="0"/>
          <w:numId w:val="2"/>
        </w:numPr>
        <w:spacing w:line="240" w:lineRule="auto"/>
        <w:ind w:left="720" w:firstLine="360"/>
        <w:contextualSpacing w:val="1"/>
        <w:rPr>
          <w:color w:val="1d3347"/>
        </w:rPr>
      </w:pPr>
      <w:r w:rsidDel="00000000" w:rsidR="00000000" w:rsidRPr="00000000">
        <w:rPr>
          <w:rtl w:val="0"/>
        </w:rPr>
        <w:t xml:space="preserve">End date= date of last prescription in series + number of days of medication supplied</w:t>
      </w:r>
    </w:p>
    <w:p w:rsidR="00000000" w:rsidDel="00000000" w:rsidP="00000000" w:rsidRDefault="00000000" w:rsidRPr="00000000">
      <w:pPr>
        <w:numPr>
          <w:ilvl w:val="0"/>
          <w:numId w:val="2"/>
        </w:numPr>
        <w:spacing w:line="240" w:lineRule="auto"/>
        <w:ind w:left="720" w:firstLine="360"/>
        <w:contextualSpacing w:val="1"/>
        <w:rPr>
          <w:color w:val="1d3347"/>
        </w:rPr>
      </w:pPr>
      <w:r w:rsidDel="00000000" w:rsidR="00000000" w:rsidRPr="00000000">
        <w:rPr>
          <w:rtl w:val="0"/>
        </w:rPr>
        <w:t xml:space="preserve">Prescriptions with &lt;180 day gap between start of prescription will be considered as part of one course of therapy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i w:val="1"/>
          <w:rtl w:val="0"/>
        </w:rPr>
        <w:t xml:space="preserve">Potential </w:t>
      </w:r>
      <w:r w:rsidDel="00000000" w:rsidR="00000000" w:rsidRPr="00000000">
        <w:rPr>
          <w:b w:val="1"/>
          <w:i w:val="1"/>
          <w:rtl w:val="0"/>
        </w:rPr>
        <w:t xml:space="preserve">misclassificatio</w:t>
      </w:r>
      <w:r w:rsidDel="00000000" w:rsidR="00000000" w:rsidRPr="00000000">
        <w:rPr>
          <w:b w:val="1"/>
          <w:i w:val="1"/>
          <w:rtl w:val="0"/>
        </w:rPr>
        <w:t xml:space="preserve">ns </w:t>
      </w:r>
      <w:r w:rsidDel="00000000" w:rsidR="00000000" w:rsidRPr="00000000">
        <w:rPr>
          <w:rtl w:val="0"/>
        </w:rPr>
      </w:r>
    </w:p>
    <w:p w:rsidR="00000000" w:rsidDel="00000000" w:rsidP="00000000" w:rsidRDefault="00000000" w:rsidRPr="00000000">
      <w:pPr>
        <w:numPr>
          <w:ilvl w:val="0"/>
          <w:numId w:val="6"/>
        </w:numPr>
        <w:spacing w:line="240" w:lineRule="auto"/>
        <w:ind w:left="1440" w:hanging="360"/>
        <w:rPr/>
      </w:pPr>
      <w:r w:rsidDel="00000000" w:rsidR="00000000" w:rsidRPr="00000000">
        <w:rPr>
          <w:rtl w:val="0"/>
        </w:rPr>
        <w:t xml:space="preserve">Prescription for oral antibiotics for another medical condition TBD-</w:t>
      </w:r>
    </w:p>
    <w:p w:rsidR="00000000" w:rsidDel="00000000" w:rsidP="00000000" w:rsidRDefault="00000000" w:rsidRPr="00000000">
      <w:pPr>
        <w:numPr>
          <w:ilvl w:val="2"/>
          <w:numId w:val="6"/>
        </w:numPr>
        <w:spacing w:line="240" w:lineRule="auto"/>
        <w:ind w:left="2160" w:hanging="360"/>
        <w:rPr/>
      </w:pPr>
      <w:r w:rsidDel="00000000" w:rsidR="00000000" w:rsidRPr="00000000">
        <w:rPr>
          <w:rtl w:val="0"/>
        </w:rPr>
        <w:t xml:space="preserve">Cystic fibrosis? </w:t>
      </w:r>
    </w:p>
    <w:p w:rsidR="00000000" w:rsidDel="00000000" w:rsidP="00000000" w:rsidRDefault="00000000" w:rsidRPr="00000000">
      <w:pPr>
        <w:numPr>
          <w:ilvl w:val="2"/>
          <w:numId w:val="6"/>
        </w:numPr>
        <w:spacing w:line="240" w:lineRule="auto"/>
        <w:ind w:left="2160" w:hanging="360"/>
        <w:rPr/>
      </w:pPr>
      <w:r w:rsidDel="00000000" w:rsidR="00000000" w:rsidRPr="00000000">
        <w:rPr>
          <w:rtl w:val="0"/>
        </w:rPr>
        <w:t xml:space="preserve">Inflammatory airway diseases? </w:t>
      </w:r>
    </w:p>
    <w:p w:rsidR="00000000" w:rsidDel="00000000" w:rsidP="00000000" w:rsidRDefault="00000000" w:rsidRPr="00000000">
      <w:pPr>
        <w:numPr>
          <w:ilvl w:val="2"/>
          <w:numId w:val="6"/>
        </w:numPr>
        <w:spacing w:line="240" w:lineRule="auto"/>
        <w:ind w:left="2160" w:hanging="360"/>
        <w:rPr/>
      </w:pPr>
      <w:r w:rsidDel="00000000" w:rsidR="00000000" w:rsidRPr="00000000">
        <w:rPr>
          <w:rtl w:val="0"/>
        </w:rPr>
        <w:t xml:space="preserve">MRSA- methicillin-resistant staphylococcus aureus</w:t>
      </w:r>
    </w:p>
    <w:p w:rsidR="00000000" w:rsidDel="00000000" w:rsidP="00000000" w:rsidRDefault="00000000" w:rsidRPr="00000000">
      <w:pPr>
        <w:numPr>
          <w:ilvl w:val="2"/>
          <w:numId w:val="6"/>
        </w:numPr>
        <w:spacing w:line="240" w:lineRule="auto"/>
        <w:ind w:left="2160" w:hanging="360"/>
        <w:rPr>
          <w:u w:val="none"/>
        </w:rPr>
      </w:pPr>
      <w:r w:rsidDel="00000000" w:rsidR="00000000" w:rsidRPr="00000000">
        <w:rPr>
          <w:rtl w:val="0"/>
        </w:rPr>
        <w:t xml:space="preserve">VRE - vancomycin-resistant enterococcus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i w:val="1"/>
          <w:rtl w:val="0"/>
        </w:rPr>
        <w:t xml:space="preserve">Analytic Plan</w:t>
      </w:r>
      <w:r w:rsidDel="00000000" w:rsidR="00000000" w:rsidRPr="00000000">
        <w:rPr>
          <w:rtl w:val="0"/>
        </w:rPr>
      </w:r>
    </w:p>
    <w:p w:rsidR="00000000" w:rsidDel="00000000" w:rsidP="00000000" w:rsidRDefault="00000000" w:rsidRPr="00000000">
      <w:pPr>
        <w:numPr>
          <w:ilvl w:val="0"/>
          <w:numId w:val="1"/>
        </w:numPr>
        <w:spacing w:line="240" w:lineRule="auto"/>
        <w:ind w:left="720" w:hanging="360"/>
        <w:rPr/>
      </w:pPr>
      <w:r w:rsidDel="00000000" w:rsidR="00000000" w:rsidRPr="00000000">
        <w:rPr>
          <w:rtl w:val="0"/>
        </w:rPr>
        <w:t xml:space="preserve">Outcomes are the type, number of courses, and duration of course of antibiotic therapy for acne</w:t>
      </w:r>
      <w:r w:rsidDel="00000000" w:rsidR="00000000" w:rsidRPr="00000000">
        <w:rPr>
          <w:rtl w:val="0"/>
        </w:rPr>
      </w:r>
    </w:p>
    <w:p w:rsidR="00000000" w:rsidDel="00000000" w:rsidP="00000000" w:rsidRDefault="00000000" w:rsidRPr="00000000">
      <w:pPr>
        <w:numPr>
          <w:ilvl w:val="0"/>
          <w:numId w:val="1"/>
        </w:numPr>
        <w:spacing w:line="240" w:lineRule="auto"/>
        <w:ind w:left="720" w:hanging="360"/>
        <w:rPr/>
      </w:pPr>
      <w:r w:rsidDel="00000000" w:rsidR="00000000" w:rsidRPr="00000000">
        <w:rPr>
          <w:rtl w:val="0"/>
        </w:rPr>
        <w:t xml:space="preserve">Comparison of outcomes across different countries, as presented by the different data sources</w:t>
      </w:r>
      <w:r w:rsidDel="00000000" w:rsidR="00000000" w:rsidRPr="00000000">
        <w:rPr>
          <w:rtl w:val="0"/>
        </w:rPr>
      </w:r>
    </w:p>
    <w:p w:rsidR="00000000" w:rsidDel="00000000" w:rsidP="00000000" w:rsidRDefault="00000000" w:rsidRPr="00000000">
      <w:pPr>
        <w:numPr>
          <w:ilvl w:val="0"/>
          <w:numId w:val="1"/>
        </w:numPr>
        <w:spacing w:line="240" w:lineRule="auto"/>
        <w:ind w:left="720" w:hanging="360"/>
        <w:rPr/>
      </w:pPr>
      <w:r w:rsidDel="00000000" w:rsidR="00000000" w:rsidRPr="00000000">
        <w:rPr>
          <w:rtl w:val="0"/>
        </w:rPr>
        <w:t xml:space="preserve">Sensitivity analysis of </w:t>
      </w:r>
      <w:r w:rsidDel="00000000" w:rsidR="00000000" w:rsidRPr="00000000">
        <w:rPr>
          <w:rtl w:val="0"/>
        </w:rPr>
        <w:t xml:space="preserve">all persons </w:t>
      </w:r>
      <w:r w:rsidDel="00000000" w:rsidR="00000000" w:rsidRPr="00000000">
        <w:rPr>
          <w:rtl w:val="0"/>
        </w:rPr>
        <w:t xml:space="preserve"> with an acne diagnosis vs.</w:t>
      </w:r>
      <w:commentRangeStart w:id="2"/>
      <w:r w:rsidDel="00000000" w:rsidR="00000000" w:rsidRPr="00000000">
        <w:rPr>
          <w:rtl w:val="0"/>
        </w:rPr>
        <w:t xml:space="preserve"> those</w:t>
      </w:r>
      <w:r w:rsidDel="00000000" w:rsidR="00000000" w:rsidRPr="00000000">
        <w:rPr>
          <w:rtl w:val="0"/>
        </w:rPr>
        <w:t xml:space="preserve"> with acne diagnosis</w:t>
      </w:r>
      <w:r w:rsidDel="00000000" w:rsidR="00000000" w:rsidRPr="00000000">
        <w:rPr>
          <w:rtl w:val="0"/>
        </w:rPr>
        <w:t xml:space="preserve"> without concomitant other diagnoses (</w:t>
      </w:r>
      <w:r w:rsidDel="00000000" w:rsidR="00000000" w:rsidRPr="00000000">
        <w:rPr>
          <w:rtl w:val="0"/>
        </w:rPr>
        <w:t xml:space="preserve">CF, IAD, MRSA, VRE</w:t>
      </w:r>
      <w:r w:rsidDel="00000000" w:rsidR="00000000" w:rsidRPr="00000000">
        <w:rPr>
          <w:rtl w:val="0"/>
        </w:rPr>
        <w:t xml:space="preserve">) that may require chronic oral antibiotic therapy</w:t>
      </w:r>
      <w:commentRangeEnd w:id="2"/>
      <w:r w:rsidDel="00000000" w:rsidR="00000000" w:rsidRPr="00000000">
        <w:commentReference w:id="2"/>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6. Protection of human subjects:</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t xml:space="preserve">This study will use de-identified data. </w:t>
      </w:r>
    </w:p>
    <w:p w:rsidR="00000000" w:rsidDel="00000000" w:rsidP="00000000" w:rsidRDefault="00000000" w:rsidRPr="00000000">
      <w:pPr>
        <w:spacing w:line="240" w:lineRule="auto"/>
        <w:ind w:firstLine="720"/>
        <w:contextualSpacing w:val="0"/>
      </w:pPr>
      <w:r w:rsidDel="00000000" w:rsidR="00000000" w:rsidRPr="00000000">
        <w:rPr>
          <w:rtl w:val="0"/>
        </w:rPr>
        <w:t xml:space="preserve">IRB approval</w:t>
      </w:r>
      <w:r w:rsidDel="00000000" w:rsidR="00000000" w:rsidRPr="00000000">
        <w:rPr>
          <w:rtl w:val="0"/>
        </w:rPr>
        <w:t xml:space="preserve"> - Each participating data site confirmed Institutional Review Board approval for the study or confirmed that their analysis did not require approval because it was exempt or was deemed nonhuman subjects research (e.g., because the database had previously been de-identified). </w:t>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7. Plans for disseminating and communicating study results:</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t xml:space="preserve">The study results will be posted on the OHDSI website after completion of the study and published in a peer-reviewed scientific journal.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Initial Proposal Date: </w:t>
      </w:r>
      <w:r w:rsidDel="00000000" w:rsidR="00000000" w:rsidRPr="00000000">
        <w:rPr>
          <w:rtl w:val="0"/>
        </w:rPr>
        <w:t xml:space="preserve">August 25, 2016</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Launch Date: </w:t>
      </w:r>
      <w:r w:rsidDel="00000000" w:rsidR="00000000" w:rsidRPr="00000000">
        <w:rPr>
          <w:rtl w:val="0"/>
        </w:rPr>
        <w:t xml:space="preserve">TBD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Study Closure Date: </w:t>
      </w:r>
      <w:r w:rsidDel="00000000" w:rsidR="00000000" w:rsidRPr="00000000">
        <w:rPr>
          <w:rtl w:val="0"/>
        </w:rPr>
        <w:t xml:space="preserve">TBD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Results Submission: </w:t>
      </w:r>
      <w:r w:rsidDel="00000000" w:rsidR="00000000" w:rsidRPr="00000000">
        <w:rPr>
          <w:rtl w:val="0"/>
        </w:rPr>
        <w:t xml:space="preserve">Email</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3"/>
        </w:numPr>
        <w:spacing w:line="240" w:lineRule="auto"/>
        <w:ind w:left="720" w:hanging="360"/>
        <w:rPr/>
      </w:pPr>
      <w:r w:rsidDel="00000000" w:rsidR="00000000" w:rsidRPr="00000000">
        <w:rPr>
          <w:rtl w:val="0"/>
        </w:rPr>
        <w:t xml:space="preserve">Zaenglein  AL, Pathy AL, Schlosser BJ, et. al. Guidelines of care for the management of acne vulgaris. J Am Acad Deramtol 2016;74(5):945-73.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3"/>
        </w:numPr>
        <w:spacing w:line="240" w:lineRule="auto"/>
        <w:ind w:left="720" w:hanging="360"/>
        <w:rPr>
          <w:u w:val="none"/>
        </w:rPr>
      </w:pPr>
      <w:r w:rsidDel="00000000" w:rsidR="00000000" w:rsidRPr="00000000">
        <w:rPr>
          <w:rtl w:val="0"/>
        </w:rPr>
        <w:t xml:space="preserve">Walsh TR, Efthimiou J, Dreno B. Systematic review of antibiotic resistance in acne: an increasing topical and oral threat. Lancet Infect Dis 2016;16(3):e23-33.</w:t>
      </w:r>
    </w:p>
    <w:p w:rsidR="00000000" w:rsidDel="00000000" w:rsidP="00000000" w:rsidRDefault="00000000" w:rsidRPr="00000000">
      <w:pPr>
        <w:numPr>
          <w:ilvl w:val="0"/>
          <w:numId w:val="3"/>
        </w:numPr>
        <w:spacing w:after="280" w:before="280" w:line="240" w:lineRule="auto"/>
        <w:ind w:left="720" w:hanging="360"/>
        <w:rPr/>
      </w:pPr>
      <w:r w:rsidDel="00000000" w:rsidR="00000000" w:rsidRPr="00000000">
        <w:rPr>
          <w:rtl w:val="0"/>
        </w:rPr>
        <w:t xml:space="preserve">Barbieri JS, Hoffstad O, Margolis DJ. Duration of oral tetracycline-class antibiotic therapy and use of topical retinoids for the treatment of acne among general practitioners (GP): A retrospective cohort study. J Am Acad Dermatol 2016. </w:t>
      </w:r>
      <w:r w:rsidDel="00000000" w:rsidR="00000000" w:rsidRPr="00000000">
        <w:rPr>
          <w:highlight w:val="white"/>
          <w:rtl w:val="0"/>
        </w:rPr>
        <w:t xml:space="preserve">doi: 10.1016/j.jaad.2016.06.057. [Epub ahead of print]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Jonathan Silverberg" w:id="2" w:date="2016-11-02T03:06: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may want to specifically add investigation of icd codes for MRSA, VRE, etc. We have recently examined these codes and found them to be fairly reliably coded.</w:t>
      </w:r>
    </w:p>
  </w:comment>
  <w:comment w:author="Lisa Schilling" w:id="0" w:date="2016-10-25T23:17: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TBD -Method specifications may vary depending on the whether the data source is Claims or Clinical data. For this study - should we just limit to claims or create parallel definitions??</w:t>
      </w:r>
    </w:p>
  </w:comment>
  <w:comment w:author="Lisa Schilling" w:id="1" w:date="2016-10-25T23:17: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Note to collaborators, I'm using TBD to indicate decisions or work we need to do.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292100</wp:posOffset>
          </wp:positionV>
          <wp:extent cx="5880100" cy="76200"/>
          <wp:effectExtent b="0" l="0" r="0" t="0"/>
          <wp:wrapNone/>
          <wp:docPr id="1" name="image02.png"/>
          <a:graphic>
            <a:graphicData uri="http://schemas.openxmlformats.org/drawingml/2006/picture">
              <pic:pic>
                <pic:nvPicPr>
                  <pic:cNvPr id="0" name="image02.png"/>
                  <pic:cNvPicPr preferRelativeResize="0"/>
                </pic:nvPicPr>
                <pic:blipFill>
                  <a:blip r:embed="rId1"/>
                  <a:srcRect b="0" l="0" r="0" t="0"/>
                  <a:stretch>
                    <a:fillRect/>
                  </a:stretch>
                </pic:blipFill>
                <pic:spPr>
                  <a:xfrm>
                    <a:off x="0" y="0"/>
                    <a:ext cx="5880100" cy="76200"/>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3686175</wp:posOffset>
          </wp:positionH>
          <wp:positionV relativeFrom="paragraph">
            <wp:posOffset>76200</wp:posOffset>
          </wp:positionV>
          <wp:extent cx="2284811" cy="626087"/>
          <wp:effectExtent b="0" l="0" r="0" t="0"/>
          <wp:wrapNone/>
          <wp:docPr id="2" name="image03.png"/>
          <a:graphic>
            <a:graphicData uri="http://schemas.openxmlformats.org/drawingml/2006/picture">
              <pic:pic>
                <pic:nvPicPr>
                  <pic:cNvPr id="0" name="image03.png"/>
                  <pic:cNvPicPr preferRelativeResize="0"/>
                </pic:nvPicPr>
                <pic:blipFill>
                  <a:blip r:embed="rId2"/>
                  <a:srcRect b="0" l="0" r="0" t="0"/>
                  <a:stretch>
                    <a:fillRect/>
                  </a:stretch>
                </pic:blipFill>
                <pic:spPr>
                  <a:xfrm>
                    <a:off x="0" y="0"/>
                    <a:ext cx="2284811" cy="6260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sz w:val="20"/>
        <w:szCs w:val="20"/>
      </w:rPr>
    </w:lvl>
    <w:lvl w:ilvl="1">
      <w:start w:val="1"/>
      <w:numFmt w:val="bullet"/>
      <w:lvlText w:val="o"/>
      <w:lvlJc w:val="left"/>
      <w:pPr>
        <w:ind w:left="1440" w:firstLine="2520"/>
      </w:pPr>
      <w:rPr>
        <w:rFonts w:ascii="Arial" w:cs="Arial" w:eastAsia="Arial" w:hAnsi="Arial"/>
        <w:sz w:val="20"/>
        <w:szCs w:val="20"/>
      </w:rPr>
    </w:lvl>
    <w:lvl w:ilvl="2">
      <w:start w:val="1"/>
      <w:numFmt w:val="bullet"/>
      <w:lvlText w:val="▪"/>
      <w:lvlJc w:val="left"/>
      <w:pPr>
        <w:ind w:left="2160" w:firstLine="3960"/>
      </w:pPr>
      <w:rPr>
        <w:rFonts w:ascii="Arial" w:cs="Arial" w:eastAsia="Arial" w:hAnsi="Arial"/>
        <w:sz w:val="20"/>
        <w:szCs w:val="20"/>
      </w:rPr>
    </w:lvl>
    <w:lvl w:ilvl="3">
      <w:start w:val="1"/>
      <w:numFmt w:val="bullet"/>
      <w:lvlText w:val="▪"/>
      <w:lvlJc w:val="left"/>
      <w:pPr>
        <w:ind w:left="2880" w:firstLine="5400"/>
      </w:pPr>
      <w:rPr>
        <w:rFonts w:ascii="Arial" w:cs="Arial" w:eastAsia="Arial" w:hAnsi="Arial"/>
        <w:sz w:val="20"/>
        <w:szCs w:val="20"/>
      </w:rPr>
    </w:lvl>
    <w:lvl w:ilvl="4">
      <w:start w:val="1"/>
      <w:numFmt w:val="bullet"/>
      <w:lvlText w:val="▪"/>
      <w:lvlJc w:val="left"/>
      <w:pPr>
        <w:ind w:left="3600" w:firstLine="6840"/>
      </w:pPr>
      <w:rPr>
        <w:rFonts w:ascii="Arial" w:cs="Arial" w:eastAsia="Arial" w:hAnsi="Arial"/>
        <w:sz w:val="20"/>
        <w:szCs w:val="20"/>
      </w:rPr>
    </w:lvl>
    <w:lvl w:ilvl="5">
      <w:start w:val="1"/>
      <w:numFmt w:val="bullet"/>
      <w:lvlText w:val="▪"/>
      <w:lvlJc w:val="left"/>
      <w:pPr>
        <w:ind w:left="4320" w:firstLine="8280"/>
      </w:pPr>
      <w:rPr>
        <w:rFonts w:ascii="Arial" w:cs="Arial" w:eastAsia="Arial" w:hAnsi="Arial"/>
        <w:sz w:val="20"/>
        <w:szCs w:val="20"/>
      </w:rPr>
    </w:lvl>
    <w:lvl w:ilvl="6">
      <w:start w:val="1"/>
      <w:numFmt w:val="bullet"/>
      <w:lvlText w:val="▪"/>
      <w:lvlJc w:val="left"/>
      <w:pPr>
        <w:ind w:left="5040" w:firstLine="9720"/>
      </w:pPr>
      <w:rPr>
        <w:rFonts w:ascii="Arial" w:cs="Arial" w:eastAsia="Arial" w:hAnsi="Arial"/>
        <w:sz w:val="20"/>
        <w:szCs w:val="20"/>
      </w:rPr>
    </w:lvl>
    <w:lvl w:ilvl="7">
      <w:start w:val="1"/>
      <w:numFmt w:val="bullet"/>
      <w:lvlText w:val="▪"/>
      <w:lvlJc w:val="left"/>
      <w:pPr>
        <w:ind w:left="5760" w:firstLine="11160"/>
      </w:pPr>
      <w:rPr>
        <w:rFonts w:ascii="Arial" w:cs="Arial" w:eastAsia="Arial" w:hAnsi="Arial"/>
        <w:sz w:val="20"/>
        <w:szCs w:val="20"/>
      </w:rPr>
    </w:lvl>
    <w:lvl w:ilvl="8">
      <w:start w:val="1"/>
      <w:numFmt w:val="bullet"/>
      <w:lvlText w:val="▪"/>
      <w:lvlJc w:val="left"/>
      <w:pPr>
        <w:ind w:left="6480" w:firstLine="12600"/>
      </w:pPr>
      <w:rPr>
        <w:rFonts w:ascii="Arial" w:cs="Arial" w:eastAsia="Arial" w:hAnsi="Arial"/>
        <w:sz w:val="20"/>
        <w:szCs w:val="20"/>
      </w:rPr>
    </w:lvl>
  </w:abstractNum>
  <w:abstractNum w:abstractNumId="2">
    <w:lvl w:ilvl="0">
      <w:start w:val="1"/>
      <w:numFmt w:val="bullet"/>
      <w:lvlText w:val="●"/>
      <w:lvlJc w:val="left"/>
      <w:pPr>
        <w:ind w:left="720" w:firstLine="1080"/>
      </w:pPr>
      <w:rPr>
        <w:rFonts w:ascii="Arial" w:cs="Arial" w:eastAsia="Arial" w:hAnsi="Arial"/>
        <w:sz w:val="20"/>
        <w:szCs w:val="20"/>
      </w:rPr>
    </w:lvl>
    <w:lvl w:ilvl="1">
      <w:start w:val="1"/>
      <w:numFmt w:val="bullet"/>
      <w:lvlText w:val="o"/>
      <w:lvlJc w:val="left"/>
      <w:pPr>
        <w:ind w:left="1440" w:firstLine="2520"/>
      </w:pPr>
      <w:rPr>
        <w:rFonts w:ascii="Arial" w:cs="Arial" w:eastAsia="Arial" w:hAnsi="Arial"/>
        <w:sz w:val="20"/>
        <w:szCs w:val="20"/>
      </w:rPr>
    </w:lvl>
    <w:lvl w:ilvl="2">
      <w:start w:val="1"/>
      <w:numFmt w:val="bullet"/>
      <w:lvlText w:val="▪"/>
      <w:lvlJc w:val="left"/>
      <w:pPr>
        <w:ind w:left="2160" w:firstLine="3960"/>
      </w:pPr>
      <w:rPr>
        <w:rFonts w:ascii="Arial" w:cs="Arial" w:eastAsia="Arial" w:hAnsi="Arial"/>
        <w:sz w:val="20"/>
        <w:szCs w:val="20"/>
      </w:rPr>
    </w:lvl>
    <w:lvl w:ilvl="3">
      <w:start w:val="1"/>
      <w:numFmt w:val="bullet"/>
      <w:lvlText w:val="▪"/>
      <w:lvlJc w:val="left"/>
      <w:pPr>
        <w:ind w:left="2880" w:firstLine="5400"/>
      </w:pPr>
      <w:rPr>
        <w:rFonts w:ascii="Arial" w:cs="Arial" w:eastAsia="Arial" w:hAnsi="Arial"/>
        <w:sz w:val="20"/>
        <w:szCs w:val="20"/>
      </w:rPr>
    </w:lvl>
    <w:lvl w:ilvl="4">
      <w:start w:val="1"/>
      <w:numFmt w:val="bullet"/>
      <w:lvlText w:val="▪"/>
      <w:lvlJc w:val="left"/>
      <w:pPr>
        <w:ind w:left="3600" w:firstLine="6840"/>
      </w:pPr>
      <w:rPr>
        <w:rFonts w:ascii="Arial" w:cs="Arial" w:eastAsia="Arial" w:hAnsi="Arial"/>
        <w:sz w:val="20"/>
        <w:szCs w:val="20"/>
      </w:rPr>
    </w:lvl>
    <w:lvl w:ilvl="5">
      <w:start w:val="1"/>
      <w:numFmt w:val="bullet"/>
      <w:lvlText w:val="▪"/>
      <w:lvlJc w:val="left"/>
      <w:pPr>
        <w:ind w:left="4320" w:firstLine="8280"/>
      </w:pPr>
      <w:rPr>
        <w:rFonts w:ascii="Arial" w:cs="Arial" w:eastAsia="Arial" w:hAnsi="Arial"/>
        <w:sz w:val="20"/>
        <w:szCs w:val="20"/>
      </w:rPr>
    </w:lvl>
    <w:lvl w:ilvl="6">
      <w:start w:val="1"/>
      <w:numFmt w:val="bullet"/>
      <w:lvlText w:val="▪"/>
      <w:lvlJc w:val="left"/>
      <w:pPr>
        <w:ind w:left="5040" w:firstLine="9720"/>
      </w:pPr>
      <w:rPr>
        <w:rFonts w:ascii="Arial" w:cs="Arial" w:eastAsia="Arial" w:hAnsi="Arial"/>
        <w:sz w:val="20"/>
        <w:szCs w:val="20"/>
      </w:rPr>
    </w:lvl>
    <w:lvl w:ilvl="7">
      <w:start w:val="1"/>
      <w:numFmt w:val="bullet"/>
      <w:lvlText w:val="▪"/>
      <w:lvlJc w:val="left"/>
      <w:pPr>
        <w:ind w:left="5760" w:firstLine="11160"/>
      </w:pPr>
      <w:rPr>
        <w:rFonts w:ascii="Arial" w:cs="Arial" w:eastAsia="Arial" w:hAnsi="Arial"/>
        <w:sz w:val="20"/>
        <w:szCs w:val="20"/>
      </w:rPr>
    </w:lvl>
    <w:lvl w:ilvl="8">
      <w:start w:val="1"/>
      <w:numFmt w:val="bullet"/>
      <w:lvlText w:val="▪"/>
      <w:lvlJc w:val="left"/>
      <w:pPr>
        <w:ind w:left="6480" w:firstLine="12600"/>
      </w:pPr>
      <w:rPr>
        <w:rFonts w:ascii="Arial" w:cs="Arial" w:eastAsia="Arial" w:hAnsi="Arial"/>
        <w:sz w:val="20"/>
        <w:szCs w:val="20"/>
      </w:rPr>
    </w:lvl>
  </w:abstractNum>
  <w:abstractNum w:abstractNumId="3">
    <w:lvl w:ilvl="0">
      <w:start w:val="1"/>
      <w:numFmt w:val="decimal"/>
      <w:lvlText w:val="%1."/>
      <w:lvlJc w:val="left"/>
      <w:pPr>
        <w:ind w:left="720" w:firstLine="1080"/>
      </w:pPr>
      <w:rPr/>
    </w:lvl>
    <w:lvl w:ilvl="1">
      <w:start w:val="1"/>
      <w:numFmt w:val="decimal"/>
      <w:lvlText w:val="%2."/>
      <w:lvlJc w:val="left"/>
      <w:pPr>
        <w:ind w:left="1440" w:firstLine="2520"/>
      </w:pPr>
      <w:rPr/>
    </w:lvl>
    <w:lvl w:ilvl="2">
      <w:start w:val="1"/>
      <w:numFmt w:val="decimal"/>
      <w:lvlText w:val="%3."/>
      <w:lvlJc w:val="left"/>
      <w:pPr>
        <w:ind w:left="2160" w:firstLine="3960"/>
      </w:pPr>
      <w:rPr/>
    </w:lvl>
    <w:lvl w:ilvl="3">
      <w:start w:val="1"/>
      <w:numFmt w:val="decimal"/>
      <w:lvlText w:val="%4."/>
      <w:lvlJc w:val="left"/>
      <w:pPr>
        <w:ind w:left="2880" w:firstLine="5400"/>
      </w:pPr>
      <w:rPr/>
    </w:lvl>
    <w:lvl w:ilvl="4">
      <w:start w:val="1"/>
      <w:numFmt w:val="decimal"/>
      <w:lvlText w:val="%5."/>
      <w:lvlJc w:val="left"/>
      <w:pPr>
        <w:ind w:left="3600" w:firstLine="6840"/>
      </w:pPr>
      <w:rPr/>
    </w:lvl>
    <w:lvl w:ilvl="5">
      <w:start w:val="1"/>
      <w:numFmt w:val="decimal"/>
      <w:lvlText w:val="%6."/>
      <w:lvlJc w:val="left"/>
      <w:pPr>
        <w:ind w:left="4320" w:firstLine="8280"/>
      </w:pPr>
      <w:rPr/>
    </w:lvl>
    <w:lvl w:ilvl="6">
      <w:start w:val="1"/>
      <w:numFmt w:val="decimal"/>
      <w:lvlText w:val="%7."/>
      <w:lvlJc w:val="left"/>
      <w:pPr>
        <w:ind w:left="5040" w:firstLine="9720"/>
      </w:pPr>
      <w:rPr/>
    </w:lvl>
    <w:lvl w:ilvl="7">
      <w:start w:val="1"/>
      <w:numFmt w:val="decimal"/>
      <w:lvlText w:val="%8."/>
      <w:lvlJc w:val="left"/>
      <w:pPr>
        <w:ind w:left="5760" w:firstLine="11160"/>
      </w:pPr>
      <w:rPr/>
    </w:lvl>
    <w:lvl w:ilvl="8">
      <w:start w:val="1"/>
      <w:numFmt w:val="decimal"/>
      <w:lvlText w:val="%9."/>
      <w:lvlJc w:val="left"/>
      <w:pPr>
        <w:ind w:left="6480" w:firstLine="12600"/>
      </w:pPr>
      <w:rPr/>
    </w:lvl>
  </w:abstractNum>
  <w:abstractNum w:abstractNumId="4">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5">
    <w:lvl w:ilvl="0">
      <w:start w:val="1"/>
      <w:numFmt w:val="bullet"/>
      <w:lvlText w:val="●"/>
      <w:lvlJc w:val="left"/>
      <w:pPr>
        <w:ind w:left="720" w:firstLine="1080"/>
      </w:pPr>
      <w:rPr>
        <w:rFonts w:ascii="Arial" w:cs="Arial" w:eastAsia="Arial" w:hAnsi="Arial"/>
        <w:sz w:val="20"/>
        <w:szCs w:val="20"/>
      </w:rPr>
    </w:lvl>
    <w:lvl w:ilvl="1">
      <w:start w:val="1"/>
      <w:numFmt w:val="bullet"/>
      <w:lvlText w:val="o"/>
      <w:lvlJc w:val="left"/>
      <w:pPr>
        <w:ind w:left="1440" w:firstLine="2520"/>
      </w:pPr>
      <w:rPr>
        <w:rFonts w:ascii="Arial" w:cs="Arial" w:eastAsia="Arial" w:hAnsi="Arial"/>
        <w:sz w:val="20"/>
        <w:szCs w:val="20"/>
      </w:rPr>
    </w:lvl>
    <w:lvl w:ilvl="2">
      <w:start w:val="1"/>
      <w:numFmt w:val="bullet"/>
      <w:lvlText w:val="▪"/>
      <w:lvlJc w:val="left"/>
      <w:pPr>
        <w:ind w:left="2160" w:firstLine="3960"/>
      </w:pPr>
      <w:rPr>
        <w:rFonts w:ascii="Arial" w:cs="Arial" w:eastAsia="Arial" w:hAnsi="Arial"/>
        <w:sz w:val="20"/>
        <w:szCs w:val="20"/>
      </w:rPr>
    </w:lvl>
    <w:lvl w:ilvl="3">
      <w:start w:val="1"/>
      <w:numFmt w:val="bullet"/>
      <w:lvlText w:val="▪"/>
      <w:lvlJc w:val="left"/>
      <w:pPr>
        <w:ind w:left="2880" w:firstLine="5400"/>
      </w:pPr>
      <w:rPr>
        <w:rFonts w:ascii="Arial" w:cs="Arial" w:eastAsia="Arial" w:hAnsi="Arial"/>
        <w:sz w:val="20"/>
        <w:szCs w:val="20"/>
      </w:rPr>
    </w:lvl>
    <w:lvl w:ilvl="4">
      <w:start w:val="1"/>
      <w:numFmt w:val="bullet"/>
      <w:lvlText w:val="▪"/>
      <w:lvlJc w:val="left"/>
      <w:pPr>
        <w:ind w:left="3600" w:firstLine="6840"/>
      </w:pPr>
      <w:rPr>
        <w:rFonts w:ascii="Arial" w:cs="Arial" w:eastAsia="Arial" w:hAnsi="Arial"/>
        <w:sz w:val="20"/>
        <w:szCs w:val="20"/>
      </w:rPr>
    </w:lvl>
    <w:lvl w:ilvl="5">
      <w:start w:val="1"/>
      <w:numFmt w:val="bullet"/>
      <w:lvlText w:val="▪"/>
      <w:lvlJc w:val="left"/>
      <w:pPr>
        <w:ind w:left="4320" w:firstLine="8280"/>
      </w:pPr>
      <w:rPr>
        <w:rFonts w:ascii="Arial" w:cs="Arial" w:eastAsia="Arial" w:hAnsi="Arial"/>
        <w:sz w:val="20"/>
        <w:szCs w:val="20"/>
      </w:rPr>
    </w:lvl>
    <w:lvl w:ilvl="6">
      <w:start w:val="1"/>
      <w:numFmt w:val="bullet"/>
      <w:lvlText w:val="▪"/>
      <w:lvlJc w:val="left"/>
      <w:pPr>
        <w:ind w:left="5040" w:firstLine="9720"/>
      </w:pPr>
      <w:rPr>
        <w:rFonts w:ascii="Arial" w:cs="Arial" w:eastAsia="Arial" w:hAnsi="Arial"/>
        <w:sz w:val="20"/>
        <w:szCs w:val="20"/>
      </w:rPr>
    </w:lvl>
    <w:lvl w:ilvl="7">
      <w:start w:val="1"/>
      <w:numFmt w:val="bullet"/>
      <w:lvlText w:val="▪"/>
      <w:lvlJc w:val="left"/>
      <w:pPr>
        <w:ind w:left="5760" w:firstLine="11160"/>
      </w:pPr>
      <w:rPr>
        <w:rFonts w:ascii="Arial" w:cs="Arial" w:eastAsia="Arial" w:hAnsi="Arial"/>
        <w:sz w:val="20"/>
        <w:szCs w:val="20"/>
      </w:rPr>
    </w:lvl>
    <w:lvl w:ilvl="8">
      <w:start w:val="1"/>
      <w:numFmt w:val="bullet"/>
      <w:lvlText w:val="▪"/>
      <w:lvlJc w:val="left"/>
      <w:pPr>
        <w:ind w:left="6480" w:firstLine="12600"/>
      </w:pPr>
      <w:rPr>
        <w:rFonts w:ascii="Arial" w:cs="Arial" w:eastAsia="Arial" w:hAnsi="Arial"/>
        <w:sz w:val="20"/>
        <w:szCs w:val="20"/>
      </w:rPr>
    </w:lvl>
  </w:abstractNum>
  <w:abstractNum w:abstractNumId="6">
    <w:lvl w:ilvl="0">
      <w:start w:val="1"/>
      <w:numFmt w:val="bullet"/>
      <w:lvlText w:val="●"/>
      <w:lvlJc w:val="left"/>
      <w:pPr>
        <w:ind w:left="720" w:firstLine="1080"/>
      </w:pPr>
      <w:rPr>
        <w:rFonts w:ascii="Arial" w:cs="Arial" w:eastAsia="Arial" w:hAnsi="Arial"/>
        <w:sz w:val="20"/>
        <w:szCs w:val="20"/>
      </w:rPr>
    </w:lvl>
    <w:lvl w:ilvl="1">
      <w:start w:val="1"/>
      <w:numFmt w:val="bullet"/>
      <w:lvlText w:val="o"/>
      <w:lvlJc w:val="left"/>
      <w:pPr>
        <w:ind w:left="1440" w:firstLine="2520"/>
      </w:pPr>
      <w:rPr>
        <w:rFonts w:ascii="Arial" w:cs="Arial" w:eastAsia="Arial" w:hAnsi="Arial"/>
        <w:sz w:val="20"/>
        <w:szCs w:val="20"/>
      </w:rPr>
    </w:lvl>
    <w:lvl w:ilvl="2">
      <w:start w:val="1"/>
      <w:numFmt w:val="bullet"/>
      <w:lvlText w:val="▪"/>
      <w:lvlJc w:val="left"/>
      <w:pPr>
        <w:ind w:left="2160" w:firstLine="3960"/>
      </w:pPr>
      <w:rPr>
        <w:rFonts w:ascii="Arial" w:cs="Arial" w:eastAsia="Arial" w:hAnsi="Arial"/>
        <w:sz w:val="20"/>
        <w:szCs w:val="20"/>
      </w:rPr>
    </w:lvl>
    <w:lvl w:ilvl="3">
      <w:start w:val="1"/>
      <w:numFmt w:val="bullet"/>
      <w:lvlText w:val="▪"/>
      <w:lvlJc w:val="left"/>
      <w:pPr>
        <w:ind w:left="2880" w:firstLine="5400"/>
      </w:pPr>
      <w:rPr>
        <w:rFonts w:ascii="Arial" w:cs="Arial" w:eastAsia="Arial" w:hAnsi="Arial"/>
        <w:sz w:val="20"/>
        <w:szCs w:val="20"/>
      </w:rPr>
    </w:lvl>
    <w:lvl w:ilvl="4">
      <w:start w:val="1"/>
      <w:numFmt w:val="bullet"/>
      <w:lvlText w:val="▪"/>
      <w:lvlJc w:val="left"/>
      <w:pPr>
        <w:ind w:left="3600" w:firstLine="6840"/>
      </w:pPr>
      <w:rPr>
        <w:rFonts w:ascii="Arial" w:cs="Arial" w:eastAsia="Arial" w:hAnsi="Arial"/>
        <w:sz w:val="20"/>
        <w:szCs w:val="20"/>
      </w:rPr>
    </w:lvl>
    <w:lvl w:ilvl="5">
      <w:start w:val="1"/>
      <w:numFmt w:val="bullet"/>
      <w:lvlText w:val="▪"/>
      <w:lvlJc w:val="left"/>
      <w:pPr>
        <w:ind w:left="4320" w:firstLine="8280"/>
      </w:pPr>
      <w:rPr>
        <w:rFonts w:ascii="Arial" w:cs="Arial" w:eastAsia="Arial" w:hAnsi="Arial"/>
        <w:sz w:val="20"/>
        <w:szCs w:val="20"/>
      </w:rPr>
    </w:lvl>
    <w:lvl w:ilvl="6">
      <w:start w:val="1"/>
      <w:numFmt w:val="bullet"/>
      <w:lvlText w:val="▪"/>
      <w:lvlJc w:val="left"/>
      <w:pPr>
        <w:ind w:left="5040" w:firstLine="9720"/>
      </w:pPr>
      <w:rPr>
        <w:rFonts w:ascii="Arial" w:cs="Arial" w:eastAsia="Arial" w:hAnsi="Arial"/>
        <w:sz w:val="20"/>
        <w:szCs w:val="20"/>
      </w:rPr>
    </w:lvl>
    <w:lvl w:ilvl="7">
      <w:start w:val="1"/>
      <w:numFmt w:val="bullet"/>
      <w:lvlText w:val="▪"/>
      <w:lvlJc w:val="left"/>
      <w:pPr>
        <w:ind w:left="5760" w:firstLine="11160"/>
      </w:pPr>
      <w:rPr>
        <w:rFonts w:ascii="Arial" w:cs="Arial" w:eastAsia="Arial" w:hAnsi="Arial"/>
        <w:sz w:val="20"/>
        <w:szCs w:val="20"/>
      </w:rPr>
    </w:lvl>
    <w:lvl w:ilvl="8">
      <w:start w:val="1"/>
      <w:numFmt w:val="bullet"/>
      <w:lvlText w:val="▪"/>
      <w:lvlJc w:val="left"/>
      <w:pPr>
        <w:ind w:left="6480" w:firstLine="1260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jc w:val="left"/>
    </w:pPr>
    <w:rPr>
      <w:rFonts w:ascii="Arial" w:cs="Arial" w:eastAsia="Arial" w:hAnsi="Arial"/>
      <w:b w:val="0"/>
      <w:i w:val="1"/>
      <w:smallCaps w:val="0"/>
      <w:strike w:val="0"/>
      <w:color w:val="666666"/>
      <w:sz w:val="30"/>
      <w:szCs w:val="30"/>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02.png"/><Relationship Id="rId2" Type="http://schemas.openxmlformats.org/officeDocument/2006/relationships/image" Target="media/image03.png"/></Relationships>
</file>