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2664"/>
        <w:gridCol w:w="3384"/>
      </w:tblGrid>
      <w:tr w:rsidR="00477061" w14:paraId="51F66B90" w14:textId="77777777" w:rsidTr="00867AF8">
        <w:trPr>
          <w:trHeight w:val="413"/>
          <w:jc w:val="center"/>
        </w:trPr>
        <w:tc>
          <w:tcPr>
            <w:tcW w:w="2664" w:type="dxa"/>
          </w:tcPr>
          <w:p w14:paraId="6A5355B4" w14:textId="7E4657A5" w:rsidR="00477061" w:rsidRDefault="00477061" w:rsidP="00477061">
            <w:r>
              <w:t>Name:</w:t>
            </w:r>
          </w:p>
        </w:tc>
        <w:tc>
          <w:tcPr>
            <w:tcW w:w="3384" w:type="dxa"/>
          </w:tcPr>
          <w:p w14:paraId="1A0BCE4F" w14:textId="769F4DB3" w:rsidR="00477061" w:rsidRDefault="00366401" w:rsidP="00477061">
            <w:r>
              <w:t>Frank J DeFalco</w:t>
            </w:r>
          </w:p>
        </w:tc>
      </w:tr>
      <w:tr w:rsidR="00477061" w14:paraId="4186E360" w14:textId="77777777" w:rsidTr="00867AF8">
        <w:trPr>
          <w:jc w:val="center"/>
        </w:trPr>
        <w:tc>
          <w:tcPr>
            <w:tcW w:w="2664" w:type="dxa"/>
          </w:tcPr>
          <w:p w14:paraId="75895C5C" w14:textId="7B8DF11D" w:rsidR="00477061" w:rsidRDefault="00477061" w:rsidP="00477061">
            <w:r>
              <w:t>Affiliation:</w:t>
            </w:r>
          </w:p>
        </w:tc>
        <w:tc>
          <w:tcPr>
            <w:tcW w:w="3384" w:type="dxa"/>
          </w:tcPr>
          <w:p w14:paraId="31A92896" w14:textId="5874CACE" w:rsidR="00477061" w:rsidRDefault="00366401" w:rsidP="00477061">
            <w:r>
              <w:t>Janssen Research &amp; Development</w:t>
            </w:r>
          </w:p>
        </w:tc>
      </w:tr>
      <w:tr w:rsidR="00477061" w14:paraId="46066465" w14:textId="77777777" w:rsidTr="00867AF8">
        <w:trPr>
          <w:jc w:val="center"/>
        </w:trPr>
        <w:tc>
          <w:tcPr>
            <w:tcW w:w="2664" w:type="dxa"/>
          </w:tcPr>
          <w:p w14:paraId="6ECDAE64" w14:textId="0F67DBDA" w:rsidR="00477061" w:rsidRDefault="00477061" w:rsidP="00477061">
            <w:r>
              <w:t>Email:</w:t>
            </w:r>
          </w:p>
        </w:tc>
        <w:tc>
          <w:tcPr>
            <w:tcW w:w="3384" w:type="dxa"/>
          </w:tcPr>
          <w:p w14:paraId="63A82E55" w14:textId="28EAE287" w:rsidR="00477061" w:rsidRDefault="0049383F" w:rsidP="00477061">
            <w:hyperlink r:id="rId8" w:history="1">
              <w:r w:rsidRPr="0029319A">
                <w:rPr>
                  <w:rStyle w:val="Hyperlink"/>
                </w:rPr>
                <w:t>fdefalco@its.jnj.com</w:t>
              </w:r>
            </w:hyperlink>
          </w:p>
        </w:tc>
      </w:tr>
      <w:tr w:rsidR="00477061" w14:paraId="41283101" w14:textId="77777777" w:rsidTr="00867AF8">
        <w:trPr>
          <w:jc w:val="center"/>
        </w:trPr>
        <w:tc>
          <w:tcPr>
            <w:tcW w:w="2664" w:type="dxa"/>
          </w:tcPr>
          <w:p w14:paraId="17DAEF38" w14:textId="3DECD405" w:rsidR="00477061" w:rsidRDefault="00477061" w:rsidP="00477061">
            <w:r>
              <w:t>Presentation type (select one):</w:t>
            </w:r>
          </w:p>
        </w:tc>
        <w:tc>
          <w:tcPr>
            <w:tcW w:w="3384" w:type="dxa"/>
          </w:tcPr>
          <w:p w14:paraId="4517E7E6" w14:textId="16DA191B" w:rsidR="00477061" w:rsidRPr="00477061" w:rsidRDefault="00BD165C" w:rsidP="00185BBB">
            <w:pPr>
              <w:rPr>
                <w:b/>
              </w:rPr>
            </w:pPr>
            <w:r>
              <w:t>Poster</w:t>
            </w:r>
          </w:p>
        </w:tc>
      </w:tr>
    </w:tbl>
    <w:p w14:paraId="783A514E" w14:textId="77777777" w:rsidR="00867AF8" w:rsidRDefault="00867AF8" w:rsidP="00185BBB">
      <w:pPr>
        <w:pStyle w:val="AMIAAuthors"/>
        <w:rPr>
          <w:sz w:val="28"/>
          <w:szCs w:val="28"/>
        </w:rPr>
      </w:pPr>
    </w:p>
    <w:p w14:paraId="63805D88" w14:textId="3596131C" w:rsidR="00185BBB" w:rsidRPr="00867AF8" w:rsidRDefault="004A6E73" w:rsidP="00185BBB">
      <w:pPr>
        <w:pStyle w:val="AMIAAuthors"/>
        <w:rPr>
          <w:sz w:val="28"/>
          <w:szCs w:val="28"/>
        </w:rPr>
      </w:pPr>
      <w:r w:rsidRPr="00867AF8">
        <w:rPr>
          <w:sz w:val="28"/>
          <w:szCs w:val="28"/>
        </w:rPr>
        <w:t xml:space="preserve">Architectural </w:t>
      </w:r>
      <w:r w:rsidR="00185BBB" w:rsidRPr="00867AF8">
        <w:rPr>
          <w:sz w:val="28"/>
          <w:szCs w:val="28"/>
        </w:rPr>
        <w:t xml:space="preserve">Considerations </w:t>
      </w:r>
      <w:r w:rsidRPr="00867AF8">
        <w:rPr>
          <w:sz w:val="28"/>
          <w:szCs w:val="28"/>
        </w:rPr>
        <w:t xml:space="preserve">to Enable Large Scale Analytics </w:t>
      </w:r>
      <w:r w:rsidR="00EE475E">
        <w:rPr>
          <w:sz w:val="28"/>
          <w:szCs w:val="28"/>
        </w:rPr>
        <w:t>from</w:t>
      </w:r>
      <w:r w:rsidR="00867AF8">
        <w:rPr>
          <w:sz w:val="28"/>
          <w:szCs w:val="28"/>
        </w:rPr>
        <w:t xml:space="preserve"> the </w:t>
      </w:r>
      <w:r w:rsidRPr="00867AF8">
        <w:rPr>
          <w:sz w:val="28"/>
          <w:szCs w:val="28"/>
        </w:rPr>
        <w:t>OHDSI</w:t>
      </w:r>
      <w:r w:rsidR="00867AF8">
        <w:rPr>
          <w:sz w:val="28"/>
          <w:szCs w:val="28"/>
        </w:rPr>
        <w:t xml:space="preserve"> </w:t>
      </w:r>
      <w:r w:rsidR="00EE475E">
        <w:rPr>
          <w:sz w:val="28"/>
          <w:szCs w:val="28"/>
        </w:rPr>
        <w:t xml:space="preserve">Web </w:t>
      </w:r>
      <w:r w:rsidRPr="00867AF8">
        <w:rPr>
          <w:sz w:val="28"/>
          <w:szCs w:val="28"/>
        </w:rPr>
        <w:t>Platform</w:t>
      </w:r>
    </w:p>
    <w:p w14:paraId="704E19DD" w14:textId="77777777" w:rsidR="00867AF8" w:rsidRDefault="00867AF8" w:rsidP="00940944">
      <w:pPr>
        <w:pStyle w:val="AMIAAuthors"/>
      </w:pPr>
    </w:p>
    <w:p w14:paraId="4371F36C" w14:textId="2BD7A46D" w:rsidR="00781CE1" w:rsidRDefault="00366401" w:rsidP="00940944">
      <w:pPr>
        <w:pStyle w:val="AMIAAuthors"/>
      </w:pPr>
      <w:r>
        <w:t>Frank J. DeFalco</w:t>
      </w:r>
      <w:r w:rsidR="000876BD" w:rsidRPr="008803D4">
        <w:rPr>
          <w:vertAlign w:val="superscript"/>
        </w:rPr>
        <w:t>1</w:t>
      </w:r>
    </w:p>
    <w:p w14:paraId="24440C6C" w14:textId="2BA239B1" w:rsidR="000876BD" w:rsidRDefault="000876BD" w:rsidP="00477061">
      <w:pPr>
        <w:pStyle w:val="AMIAAffiliations"/>
        <w:sectPr w:rsidR="000876BD" w:rsidSect="001D5D81">
          <w:footerReference w:type="even" r:id="rId9"/>
          <w:footerReference w:type="default" r:id="rId10"/>
          <w:type w:val="continuous"/>
          <w:pgSz w:w="12240" w:h="15840" w:code="1"/>
          <w:pgMar w:top="1440" w:right="1440" w:bottom="1440" w:left="1440" w:header="720" w:footer="720" w:gutter="0"/>
          <w:cols w:space="720"/>
        </w:sectPr>
      </w:pPr>
      <w:r w:rsidRPr="00B547B7">
        <w:rPr>
          <w:vertAlign w:val="superscript"/>
        </w:rPr>
        <w:t>1</w:t>
      </w:r>
      <w:r w:rsidR="00366401">
        <w:t>Janssen Research &amp; Development</w:t>
      </w:r>
      <w:r>
        <w:t xml:space="preserve">, </w:t>
      </w:r>
      <w:r w:rsidR="00366401">
        <w:t>Raritan</w:t>
      </w:r>
      <w:r>
        <w:t xml:space="preserve">, </w:t>
      </w:r>
      <w:r w:rsidR="00366401">
        <w:t>NJ</w:t>
      </w:r>
    </w:p>
    <w:p w14:paraId="619D5DE1" w14:textId="77777777" w:rsidR="00781CE1" w:rsidRDefault="000876BD" w:rsidP="00940944">
      <w:pPr>
        <w:pStyle w:val="AMIAAbstractHeading"/>
      </w:pPr>
      <w:r w:rsidRPr="006C79A8">
        <w:lastRenderedPageBreak/>
        <w:t>Abstract</w:t>
      </w:r>
    </w:p>
    <w:p w14:paraId="6D2767FD" w14:textId="254D1958" w:rsidR="00781CE1" w:rsidRDefault="00867AF8" w:rsidP="00940944">
      <w:pPr>
        <w:pStyle w:val="AMIAAbstract"/>
      </w:pPr>
      <w:r>
        <w:t xml:space="preserve">While tremendous progress has been made implementing statistical analysis methods by the OHDSI community the level of technical aptitude required for their execution has limited their accessibility.  Applications such as ATLAS provide a friendly user interface to leverage parts of the OHDSI technology stack but the methods that require long execution time and large scale computing power have remained outside of their scope due to architectural limitations.  </w:t>
      </w:r>
      <w:r w:rsidR="00EE475E">
        <w:t>New considerations in the architecture now remove these limitations and will enable new capabilities accessible to all users from within the OHDSI web platform.</w:t>
      </w:r>
    </w:p>
    <w:p w14:paraId="6E014A02" w14:textId="77777777" w:rsidR="008A2672" w:rsidRDefault="008A2672" w:rsidP="00940944">
      <w:pPr>
        <w:pStyle w:val="AMIAHeading"/>
      </w:pPr>
      <w:r>
        <w:t>Background</w:t>
      </w:r>
    </w:p>
    <w:p w14:paraId="6EB34C12" w14:textId="647B767C" w:rsidR="008A2672" w:rsidRPr="008A2672" w:rsidRDefault="008A2672" w:rsidP="00940944">
      <w:pPr>
        <w:pStyle w:val="AMIAHeading"/>
        <w:rPr>
          <w:b w:val="0"/>
        </w:rPr>
      </w:pPr>
      <w:r w:rsidRPr="008A2672">
        <w:rPr>
          <w:b w:val="0"/>
        </w:rPr>
        <w:t xml:space="preserve">The OHDSI architecture has existing capabilities for long running processes through the Spring Batch Job Manager implementation hosted within the </w:t>
      </w:r>
      <w:proofErr w:type="spellStart"/>
      <w:r w:rsidRPr="008A2672">
        <w:rPr>
          <w:b w:val="0"/>
        </w:rPr>
        <w:t>WebAPI</w:t>
      </w:r>
      <w:proofErr w:type="spellEnd"/>
      <w:r w:rsidRPr="008A2672">
        <w:rPr>
          <w:b w:val="0"/>
        </w:rPr>
        <w:t>.  The limitation of this implementation was that any job would execute upon the infrastructure hosting the web platform.  When considering the execution of long running analyses such as those enabled by the various R based methods compute capacity and scalability quickly becomes a rate-limiting factor.  In particular packages such as CohortMethod</w:t>
      </w:r>
      <w:r w:rsidRPr="008A2672">
        <w:rPr>
          <w:b w:val="0"/>
          <w:vertAlign w:val="superscript"/>
        </w:rPr>
        <w:t>1</w:t>
      </w:r>
      <w:r w:rsidRPr="008A2672">
        <w:rPr>
          <w:b w:val="0"/>
        </w:rPr>
        <w:t xml:space="preserve"> and PatientLevelPrediction</w:t>
      </w:r>
      <w:r w:rsidRPr="008A2672">
        <w:rPr>
          <w:b w:val="0"/>
          <w:vertAlign w:val="superscript"/>
        </w:rPr>
        <w:t>2</w:t>
      </w:r>
      <w:r w:rsidRPr="008A2672">
        <w:rPr>
          <w:b w:val="0"/>
        </w:rPr>
        <w:t xml:space="preserve"> require more compute capacity than what is provided by the typical web server used to host the </w:t>
      </w:r>
      <w:proofErr w:type="spellStart"/>
      <w:r w:rsidRPr="008A2672">
        <w:rPr>
          <w:b w:val="0"/>
        </w:rPr>
        <w:t>WebAPI</w:t>
      </w:r>
      <w:proofErr w:type="spellEnd"/>
      <w:r w:rsidRPr="008A2672">
        <w:rPr>
          <w:b w:val="0"/>
        </w:rPr>
        <w:t xml:space="preserve">.  </w:t>
      </w:r>
    </w:p>
    <w:p w14:paraId="1BCD3A4A" w14:textId="42811FF2" w:rsidR="00781CE1" w:rsidRDefault="00BD165C" w:rsidP="00940944">
      <w:pPr>
        <w:pStyle w:val="AMIAHeading"/>
      </w:pPr>
      <w:r>
        <w:t>Discussion</w:t>
      </w:r>
    </w:p>
    <w:p w14:paraId="447447D1" w14:textId="6163F5E7" w:rsidR="008A2672" w:rsidRDefault="00437B67" w:rsidP="00BD165C">
      <w:pPr>
        <w:pStyle w:val="AMIABodyText"/>
      </w:pPr>
      <w:r>
        <w:t>Introducing two new components, the R Service Bus</w:t>
      </w:r>
      <w:r w:rsidR="00BD165C" w:rsidRPr="00BD165C">
        <w:rPr>
          <w:vertAlign w:val="superscript"/>
        </w:rPr>
        <w:t>3</w:t>
      </w:r>
      <w:r>
        <w:t xml:space="preserve"> and RPooli</w:t>
      </w:r>
      <w:r w:rsidR="00BD165C" w:rsidRPr="00BD165C">
        <w:rPr>
          <w:vertAlign w:val="superscript"/>
        </w:rPr>
        <w:t>4</w:t>
      </w:r>
      <w:r>
        <w:t xml:space="preserve"> provide the ability to execute R methods across a distributed infrastructure and provide the required scale and compute capacity.</w:t>
      </w:r>
      <w:r w:rsidR="008A2672">
        <w:t xml:space="preserve">  The new components are accessed as new tasks executed through the existing Job Manager framework (figure 1).  The primary component contacted by the Job Manager is the R Service Bus which in turn communicates with R </w:t>
      </w:r>
      <w:proofErr w:type="spellStart"/>
      <w:r w:rsidR="008A2672">
        <w:t>Pooli</w:t>
      </w:r>
      <w:proofErr w:type="spellEnd"/>
      <w:r w:rsidR="008A2672">
        <w:t xml:space="preserve"> to launch R nodes for the large scale analytics processing.</w:t>
      </w:r>
    </w:p>
    <w:p w14:paraId="780B14AE" w14:textId="52DD85DE" w:rsidR="008A2672" w:rsidRDefault="008A2672" w:rsidP="008A2672">
      <w:pPr>
        <w:pStyle w:val="AMIABodyText"/>
        <w:jc w:val="center"/>
      </w:pPr>
      <w:r w:rsidRPr="008A2672">
        <w:rPr>
          <w:noProof/>
        </w:rPr>
        <w:drawing>
          <wp:inline distT="0" distB="0" distL="0" distR="0" wp14:anchorId="3274B0DC" wp14:editId="41B1AAAF">
            <wp:extent cx="3132548" cy="1888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0974" cy="1887616"/>
                    </a:xfrm>
                    <a:prstGeom prst="rect">
                      <a:avLst/>
                    </a:prstGeom>
                  </pic:spPr>
                </pic:pic>
              </a:graphicData>
            </a:graphic>
          </wp:inline>
        </w:drawing>
      </w:r>
    </w:p>
    <w:p w14:paraId="17658585" w14:textId="411628DD" w:rsidR="008A2672" w:rsidRDefault="008A2672" w:rsidP="008A2672">
      <w:pPr>
        <w:pStyle w:val="AMIABodyText"/>
        <w:jc w:val="center"/>
        <w:rPr>
          <w:sz w:val="16"/>
          <w:szCs w:val="16"/>
        </w:rPr>
      </w:pPr>
      <w:proofErr w:type="gramStart"/>
      <w:r w:rsidRPr="008A2672">
        <w:rPr>
          <w:sz w:val="16"/>
          <w:szCs w:val="16"/>
        </w:rPr>
        <w:t>figure</w:t>
      </w:r>
      <w:proofErr w:type="gramEnd"/>
      <w:r w:rsidRPr="008A2672">
        <w:rPr>
          <w:sz w:val="16"/>
          <w:szCs w:val="16"/>
        </w:rPr>
        <w:t xml:space="preserve"> 1</w:t>
      </w:r>
    </w:p>
    <w:p w14:paraId="6F1515B3" w14:textId="66D43553" w:rsidR="003809F8" w:rsidRPr="003809F8" w:rsidRDefault="003809F8" w:rsidP="003809F8">
      <w:pPr>
        <w:pStyle w:val="AMIABodyText"/>
      </w:pPr>
      <w:r w:rsidRPr="003809F8">
        <w:t>Once</w:t>
      </w:r>
      <w:r>
        <w:t xml:space="preserve"> the R Service Bus </w:t>
      </w:r>
      <w:r w:rsidR="002918A7">
        <w:t xml:space="preserve">initializes a node </w:t>
      </w:r>
      <w:r>
        <w:t xml:space="preserve">within R </w:t>
      </w:r>
      <w:proofErr w:type="spellStart"/>
      <w:r>
        <w:t>Pooli</w:t>
      </w:r>
      <w:proofErr w:type="spellEnd"/>
      <w:r w:rsidR="00324233">
        <w:t xml:space="preserve"> then</w:t>
      </w:r>
      <w:r>
        <w:t xml:space="preserve"> analyses such as a comparative cohort analysis </w:t>
      </w:r>
      <w:r w:rsidR="002918A7">
        <w:t xml:space="preserve">can occur in an independent </w:t>
      </w:r>
      <w:r w:rsidR="00324233">
        <w:t xml:space="preserve">R </w:t>
      </w:r>
      <w:r w:rsidR="002918A7">
        <w:t xml:space="preserve">process.  This type of analysis would access the necessary </w:t>
      </w:r>
      <w:r w:rsidR="00324233">
        <w:t>data and leverage the existing R packages to generate output that can then be saved and reviewed (figure 2).</w:t>
      </w:r>
    </w:p>
    <w:p w14:paraId="2D7C432A" w14:textId="7BF22881" w:rsidR="003809F8" w:rsidRDefault="003809F8" w:rsidP="003809F8">
      <w:pPr>
        <w:pStyle w:val="AMIAHeading"/>
        <w:jc w:val="center"/>
      </w:pPr>
      <w:r w:rsidRPr="003809F8">
        <w:rPr>
          <w:noProof/>
        </w:rPr>
        <w:lastRenderedPageBreak/>
        <w:drawing>
          <wp:inline distT="0" distB="0" distL="0" distR="0" wp14:anchorId="1408DF8B" wp14:editId="07111E9A">
            <wp:extent cx="2495774" cy="14292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96866" cy="1429828"/>
                    </a:xfrm>
                    <a:prstGeom prst="rect">
                      <a:avLst/>
                    </a:prstGeom>
                  </pic:spPr>
                </pic:pic>
              </a:graphicData>
            </a:graphic>
          </wp:inline>
        </w:drawing>
      </w:r>
    </w:p>
    <w:p w14:paraId="2967D944" w14:textId="4A20AE80" w:rsidR="003809F8" w:rsidRPr="003809F8" w:rsidRDefault="003809F8" w:rsidP="003809F8">
      <w:pPr>
        <w:pStyle w:val="AMIAHeading"/>
        <w:jc w:val="center"/>
        <w:rPr>
          <w:b w:val="0"/>
          <w:sz w:val="16"/>
          <w:szCs w:val="16"/>
        </w:rPr>
      </w:pPr>
      <w:proofErr w:type="gramStart"/>
      <w:r w:rsidRPr="003809F8">
        <w:rPr>
          <w:b w:val="0"/>
          <w:sz w:val="16"/>
          <w:szCs w:val="16"/>
        </w:rPr>
        <w:t>figure</w:t>
      </w:r>
      <w:proofErr w:type="gramEnd"/>
      <w:r w:rsidRPr="003809F8">
        <w:rPr>
          <w:b w:val="0"/>
          <w:sz w:val="16"/>
          <w:szCs w:val="16"/>
        </w:rPr>
        <w:t xml:space="preserve"> 2</w:t>
      </w:r>
    </w:p>
    <w:p w14:paraId="4C9F3876" w14:textId="77777777" w:rsidR="00781CE1" w:rsidRDefault="000876BD" w:rsidP="00940944">
      <w:pPr>
        <w:pStyle w:val="AMIAHeading"/>
      </w:pPr>
      <w:r>
        <w:t>Conclusion</w:t>
      </w:r>
    </w:p>
    <w:p w14:paraId="1345E1E8" w14:textId="451A596C" w:rsidR="00781CE1" w:rsidRDefault="00BD165C" w:rsidP="00940944">
      <w:pPr>
        <w:pStyle w:val="AMIABodyText"/>
      </w:pPr>
      <w:r>
        <w:t>The architectural considerations introduced here will enable a new class of use cases from within the tools provided within the OHDSI web platform.  Additional research and implementation will be required to fully assess the extent of the platform’s scalability across cloud and distributed infrastructure</w:t>
      </w:r>
    </w:p>
    <w:p w14:paraId="699418F3" w14:textId="77777777" w:rsidR="00324233" w:rsidRDefault="00324233" w:rsidP="00940944">
      <w:pPr>
        <w:pStyle w:val="AMIABodyText"/>
      </w:pPr>
    </w:p>
    <w:p w14:paraId="7AF84F5A" w14:textId="77777777" w:rsidR="00781CE1" w:rsidRDefault="000876BD" w:rsidP="00940944">
      <w:pPr>
        <w:pStyle w:val="AMIAReferenceHeading"/>
      </w:pPr>
      <w:r>
        <w:t>References</w:t>
      </w:r>
    </w:p>
    <w:p w14:paraId="42926C53" w14:textId="11642373" w:rsidR="00324233" w:rsidRPr="00324233" w:rsidRDefault="00324233" w:rsidP="00324233">
      <w:pPr>
        <w:pStyle w:val="ListParagraph"/>
        <w:numPr>
          <w:ilvl w:val="0"/>
          <w:numId w:val="2"/>
        </w:numPr>
        <w:autoSpaceDE w:val="0"/>
        <w:autoSpaceDN w:val="0"/>
        <w:adjustRightInd w:val="0"/>
      </w:pPr>
      <w:r w:rsidRPr="00324233">
        <w:t xml:space="preserve">Martijn J. Schuemie, Marc A. </w:t>
      </w:r>
      <w:proofErr w:type="spellStart"/>
      <w:r w:rsidRPr="00324233">
        <w:t>Suchard</w:t>
      </w:r>
      <w:proofErr w:type="spellEnd"/>
      <w:r w:rsidRPr="00324233">
        <w:t xml:space="preserve"> and Patrick B. Ryan (2015). </w:t>
      </w:r>
      <w:proofErr w:type="spellStart"/>
      <w:r w:rsidRPr="00324233">
        <w:t>CohortMethod</w:t>
      </w:r>
      <w:proofErr w:type="spellEnd"/>
      <w:r w:rsidRPr="00324233">
        <w:t xml:space="preserve">: New-user cohort method with large scale propensity and outcome models. </w:t>
      </w:r>
      <w:r>
        <w:t>(</w:t>
      </w:r>
      <w:r w:rsidRPr="00324233">
        <w:t>https://github.com/OHDSI/CohortMethod</w:t>
      </w:r>
      <w:r>
        <w:t>)</w:t>
      </w:r>
    </w:p>
    <w:p w14:paraId="2CDA70D4" w14:textId="50C80024" w:rsidR="00477061" w:rsidRDefault="00324233" w:rsidP="00324233">
      <w:pPr>
        <w:pStyle w:val="AMIAReference"/>
        <w:numPr>
          <w:ilvl w:val="0"/>
          <w:numId w:val="2"/>
        </w:numPr>
      </w:pPr>
      <w:r>
        <w:t xml:space="preserve">Martijn J. Schuemie, Marc A. </w:t>
      </w:r>
      <w:proofErr w:type="spellStart"/>
      <w:r>
        <w:t>Suchard</w:t>
      </w:r>
      <w:proofErr w:type="spellEnd"/>
      <w:r>
        <w:t xml:space="preserve">, Patrick B. Ryan, Jenna Reps (2016). </w:t>
      </w:r>
      <w:proofErr w:type="spellStart"/>
      <w:r>
        <w:t>PatientLevelPrediction</w:t>
      </w:r>
      <w:proofErr w:type="spellEnd"/>
      <w:r>
        <w:t xml:space="preserve"> (</w:t>
      </w:r>
      <w:hyperlink r:id="rId13" w:history="1">
        <w:r w:rsidRPr="008542B1">
          <w:rPr>
            <w:rStyle w:val="Hyperlink"/>
          </w:rPr>
          <w:t>https://github.com/OHDSI/PatientLevelPrediction</w:t>
        </w:r>
      </w:hyperlink>
      <w:r>
        <w:t>)</w:t>
      </w:r>
    </w:p>
    <w:p w14:paraId="18AD5FE0" w14:textId="39207C79" w:rsidR="00324233" w:rsidRDefault="00324233" w:rsidP="00324233">
      <w:pPr>
        <w:pStyle w:val="AMIAReference"/>
        <w:numPr>
          <w:ilvl w:val="0"/>
          <w:numId w:val="2"/>
        </w:numPr>
      </w:pPr>
      <w:r>
        <w:t>Open Analytics R Service Bus (2016). (</w:t>
      </w:r>
      <w:hyperlink r:id="rId14" w:history="1">
        <w:r w:rsidRPr="008542B1">
          <w:rPr>
            <w:rStyle w:val="Hyperlink"/>
          </w:rPr>
          <w:t>https://www.openanalytics.eu/r-service-bus</w:t>
        </w:r>
      </w:hyperlink>
      <w:r>
        <w:t xml:space="preserve">) </w:t>
      </w:r>
    </w:p>
    <w:p w14:paraId="2E540614" w14:textId="09219D16" w:rsidR="00324233" w:rsidRDefault="00324233" w:rsidP="00324233">
      <w:pPr>
        <w:pStyle w:val="AMIAReference"/>
        <w:numPr>
          <w:ilvl w:val="0"/>
          <w:numId w:val="2"/>
        </w:numPr>
      </w:pPr>
      <w:r>
        <w:t xml:space="preserve">Open Analytics </w:t>
      </w:r>
      <w:proofErr w:type="spellStart"/>
      <w:r>
        <w:t>RPooli</w:t>
      </w:r>
      <w:proofErr w:type="spellEnd"/>
      <w:r>
        <w:t xml:space="preserve"> (2016). (</w:t>
      </w:r>
      <w:hyperlink r:id="rId15" w:history="1">
        <w:r w:rsidRPr="008542B1">
          <w:rPr>
            <w:rStyle w:val="Hyperlink"/>
          </w:rPr>
          <w:t>https://githu</w:t>
        </w:r>
        <w:bookmarkStart w:id="0" w:name="_GoBack"/>
        <w:bookmarkEnd w:id="0"/>
        <w:r w:rsidRPr="008542B1">
          <w:rPr>
            <w:rStyle w:val="Hyperlink"/>
          </w:rPr>
          <w:t>b.com/openanalytics/RPooli</w:t>
        </w:r>
      </w:hyperlink>
      <w:r>
        <w:t>)</w:t>
      </w:r>
    </w:p>
    <w:p w14:paraId="02B6AB55" w14:textId="77777777" w:rsidR="00324233" w:rsidRDefault="00324233" w:rsidP="00324233">
      <w:pPr>
        <w:pStyle w:val="AMIAReference"/>
        <w:numPr>
          <w:ilvl w:val="0"/>
          <w:numId w:val="0"/>
        </w:numPr>
        <w:ind w:left="720"/>
      </w:pPr>
    </w:p>
    <w:p w14:paraId="02DA5C99" w14:textId="77777777" w:rsidR="000876BD" w:rsidRDefault="000876BD" w:rsidP="00857029">
      <w:pPr>
        <w:jc w:val="both"/>
      </w:pPr>
    </w:p>
    <w:p w14:paraId="49B0A4C1" w14:textId="77777777" w:rsidR="00324233" w:rsidRDefault="00324233" w:rsidP="00857029">
      <w:pPr>
        <w:jc w:val="both"/>
        <w:sectPr w:rsidR="00324233" w:rsidSect="001A47CF">
          <w:type w:val="continuous"/>
          <w:pgSz w:w="12240" w:h="15840" w:code="1"/>
          <w:pgMar w:top="1440" w:right="1440" w:bottom="1440" w:left="1440" w:header="720" w:footer="720" w:gutter="0"/>
          <w:cols w:space="720"/>
        </w:sectPr>
      </w:pPr>
    </w:p>
    <w:p w14:paraId="0E1F1D65" w14:textId="77777777" w:rsidR="000876BD" w:rsidRDefault="000876BD" w:rsidP="00857029">
      <w:pPr>
        <w:jc w:val="both"/>
      </w:pPr>
    </w:p>
    <w:sectPr w:rsidR="000876BD" w:rsidSect="0069458E">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5AE5D" w14:textId="77777777" w:rsidR="00B635AC" w:rsidRDefault="00B635AC">
      <w:r>
        <w:separator/>
      </w:r>
    </w:p>
  </w:endnote>
  <w:endnote w:type="continuationSeparator" w:id="0">
    <w:p w14:paraId="430B7324" w14:textId="77777777" w:rsidR="00B635AC" w:rsidRDefault="00B6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D8A3" w14:textId="77777777" w:rsidR="002B3C70" w:rsidRDefault="002B3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3A5F5" w14:textId="77777777" w:rsidR="002B3C70" w:rsidRDefault="002B3C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537F" w14:textId="77777777" w:rsidR="002B3C70" w:rsidRDefault="002B3C70">
    <w:pPr>
      <w:pStyle w:val="Footer"/>
      <w:framePr w:wrap="around" w:vAnchor="text" w:hAnchor="margin" w:xAlign="right" w:y="1"/>
      <w:rPr>
        <w:rStyle w:val="PageNumber"/>
      </w:rPr>
    </w:pPr>
  </w:p>
  <w:p w14:paraId="407FF2F2" w14:textId="77777777" w:rsidR="002B3C70" w:rsidRDefault="002B3C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0B0F8" w14:textId="77777777" w:rsidR="00B635AC" w:rsidRDefault="00B635AC">
      <w:r>
        <w:separator/>
      </w:r>
    </w:p>
  </w:footnote>
  <w:footnote w:type="continuationSeparator" w:id="0">
    <w:p w14:paraId="68AC84F8" w14:textId="77777777" w:rsidR="00B635AC" w:rsidRDefault="00B63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1">
    <w:nsid w:val="0FF305D3"/>
    <w:multiLevelType w:val="hybridMultilevel"/>
    <w:tmpl w:val="6234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81"/>
    <w:rsid w:val="00001FF6"/>
    <w:rsid w:val="00061121"/>
    <w:rsid w:val="000876BD"/>
    <w:rsid w:val="000F41E2"/>
    <w:rsid w:val="00123B63"/>
    <w:rsid w:val="00152DBC"/>
    <w:rsid w:val="00153780"/>
    <w:rsid w:val="00185BBB"/>
    <w:rsid w:val="001A47CF"/>
    <w:rsid w:val="001D1567"/>
    <w:rsid w:val="001D1BCD"/>
    <w:rsid w:val="001D3422"/>
    <w:rsid w:val="001D5D81"/>
    <w:rsid w:val="002918A7"/>
    <w:rsid w:val="002929AE"/>
    <w:rsid w:val="002B3C70"/>
    <w:rsid w:val="00305A9B"/>
    <w:rsid w:val="00322966"/>
    <w:rsid w:val="00324233"/>
    <w:rsid w:val="003256DE"/>
    <w:rsid w:val="00333331"/>
    <w:rsid w:val="00335B31"/>
    <w:rsid w:val="0035275E"/>
    <w:rsid w:val="00366401"/>
    <w:rsid w:val="003809F8"/>
    <w:rsid w:val="003A14D8"/>
    <w:rsid w:val="003B0234"/>
    <w:rsid w:val="003C0115"/>
    <w:rsid w:val="003C6BE4"/>
    <w:rsid w:val="003D19F4"/>
    <w:rsid w:val="003D5748"/>
    <w:rsid w:val="004019EA"/>
    <w:rsid w:val="00437B67"/>
    <w:rsid w:val="004464BE"/>
    <w:rsid w:val="00447D9D"/>
    <w:rsid w:val="00477061"/>
    <w:rsid w:val="0049383F"/>
    <w:rsid w:val="004A6E73"/>
    <w:rsid w:val="00500BD7"/>
    <w:rsid w:val="0054530B"/>
    <w:rsid w:val="00556080"/>
    <w:rsid w:val="00562D9E"/>
    <w:rsid w:val="00590340"/>
    <w:rsid w:val="005B0F09"/>
    <w:rsid w:val="00600255"/>
    <w:rsid w:val="00636609"/>
    <w:rsid w:val="0069458E"/>
    <w:rsid w:val="00696DA5"/>
    <w:rsid w:val="006A0A8B"/>
    <w:rsid w:val="006A2950"/>
    <w:rsid w:val="006C79A8"/>
    <w:rsid w:val="006D0A2C"/>
    <w:rsid w:val="006E41ED"/>
    <w:rsid w:val="00726B30"/>
    <w:rsid w:val="00737F46"/>
    <w:rsid w:val="00741BE9"/>
    <w:rsid w:val="00744D65"/>
    <w:rsid w:val="00781CE1"/>
    <w:rsid w:val="007B0F22"/>
    <w:rsid w:val="007B4D7E"/>
    <w:rsid w:val="007C5BDF"/>
    <w:rsid w:val="007D63B4"/>
    <w:rsid w:val="007E534A"/>
    <w:rsid w:val="008310C2"/>
    <w:rsid w:val="00842C12"/>
    <w:rsid w:val="00857029"/>
    <w:rsid w:val="00867AF8"/>
    <w:rsid w:val="008803D4"/>
    <w:rsid w:val="00883CF0"/>
    <w:rsid w:val="00885900"/>
    <w:rsid w:val="00887953"/>
    <w:rsid w:val="00895E92"/>
    <w:rsid w:val="008A2672"/>
    <w:rsid w:val="008A2E55"/>
    <w:rsid w:val="008E6278"/>
    <w:rsid w:val="00907431"/>
    <w:rsid w:val="00924B71"/>
    <w:rsid w:val="00940944"/>
    <w:rsid w:val="00956D31"/>
    <w:rsid w:val="009610C9"/>
    <w:rsid w:val="009953BE"/>
    <w:rsid w:val="00995750"/>
    <w:rsid w:val="009A55F9"/>
    <w:rsid w:val="009A7C7F"/>
    <w:rsid w:val="00A12050"/>
    <w:rsid w:val="00A33F82"/>
    <w:rsid w:val="00AF2A0A"/>
    <w:rsid w:val="00B15F26"/>
    <w:rsid w:val="00B52D0E"/>
    <w:rsid w:val="00B547B7"/>
    <w:rsid w:val="00B635AC"/>
    <w:rsid w:val="00B85C68"/>
    <w:rsid w:val="00BA3C08"/>
    <w:rsid w:val="00BC6407"/>
    <w:rsid w:val="00BD165C"/>
    <w:rsid w:val="00BD30DA"/>
    <w:rsid w:val="00BE54EA"/>
    <w:rsid w:val="00C25098"/>
    <w:rsid w:val="00C435D4"/>
    <w:rsid w:val="00CA1CE1"/>
    <w:rsid w:val="00CA1D90"/>
    <w:rsid w:val="00CA1EF1"/>
    <w:rsid w:val="00CA52ED"/>
    <w:rsid w:val="00CD1CE4"/>
    <w:rsid w:val="00D47688"/>
    <w:rsid w:val="00D72377"/>
    <w:rsid w:val="00DA4570"/>
    <w:rsid w:val="00DC026C"/>
    <w:rsid w:val="00DC4B18"/>
    <w:rsid w:val="00DC6BAB"/>
    <w:rsid w:val="00DD63B6"/>
    <w:rsid w:val="00DF5E64"/>
    <w:rsid w:val="00E06DEE"/>
    <w:rsid w:val="00E1053B"/>
    <w:rsid w:val="00E40A62"/>
    <w:rsid w:val="00E81D55"/>
    <w:rsid w:val="00EA3C75"/>
    <w:rsid w:val="00EC29D2"/>
    <w:rsid w:val="00EC774E"/>
    <w:rsid w:val="00EE475E"/>
    <w:rsid w:val="00F17F2E"/>
    <w:rsid w:val="00F66156"/>
    <w:rsid w:val="00F919E4"/>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5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33"/>
    <w:pPr>
      <w:ind w:left="720"/>
      <w:contextualSpacing/>
    </w:pPr>
  </w:style>
  <w:style w:type="character" w:styleId="Hyperlink">
    <w:name w:val="Hyperlink"/>
    <w:basedOn w:val="DefaultParagraphFont"/>
    <w:rsid w:val="00324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33"/>
    <w:pPr>
      <w:ind w:left="720"/>
      <w:contextualSpacing/>
    </w:pPr>
  </w:style>
  <w:style w:type="character" w:styleId="Hyperlink">
    <w:name w:val="Hyperlink"/>
    <w:basedOn w:val="DefaultParagraphFont"/>
    <w:rsid w:val="00324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efalco@its.jnj.com" TargetMode="External"/><Relationship Id="rId13" Type="http://schemas.openxmlformats.org/officeDocument/2006/relationships/hyperlink" Target="https://github.com/OHDSI/PatientLevelPredic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github.com/openanalytics/RPooli"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penanalytics.eu/r-service-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AMIA Submission template.dot</Template>
  <TotalTime>2611</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Title of the Article</vt:lpstr>
    </vt:vector>
  </TitlesOfParts>
  <Company>Partners HealthCare System, Inc.</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Defalco, Frank [JRDUS]</cp:lastModifiedBy>
  <cp:revision>6</cp:revision>
  <cp:lastPrinted>2000-03-08T21:11:00Z</cp:lastPrinted>
  <dcterms:created xsi:type="dcterms:W3CDTF">2016-06-16T15:12:00Z</dcterms:created>
  <dcterms:modified xsi:type="dcterms:W3CDTF">2016-06-22T17:32:00Z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