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64"/>
        <w:gridCol w:w="4284"/>
      </w:tblGrid>
      <w:tr w:rsidR="00477061" w14:paraId="51F66B90" w14:textId="77777777" w:rsidTr="00477061">
        <w:trPr>
          <w:trHeight w:val="413"/>
          <w:jc w:val="center"/>
        </w:trPr>
        <w:tc>
          <w:tcPr>
            <w:tcW w:w="1764" w:type="dxa"/>
          </w:tcPr>
          <w:p w14:paraId="6A5355B4" w14:textId="7E4657A5" w:rsidR="00477061" w:rsidRDefault="00477061" w:rsidP="00477061">
            <w:r>
              <w:t>Name:</w:t>
            </w:r>
          </w:p>
        </w:tc>
        <w:tc>
          <w:tcPr>
            <w:tcW w:w="4284" w:type="dxa"/>
          </w:tcPr>
          <w:p w14:paraId="1A0BCE4F" w14:textId="07D046AD" w:rsidR="00477061" w:rsidRDefault="00A30FF1" w:rsidP="00781694">
            <w:r>
              <w:t>Jill Hardin</w:t>
            </w:r>
          </w:p>
        </w:tc>
      </w:tr>
      <w:tr w:rsidR="00477061" w14:paraId="4186E360" w14:textId="77777777" w:rsidTr="00477061">
        <w:trPr>
          <w:jc w:val="center"/>
        </w:trPr>
        <w:tc>
          <w:tcPr>
            <w:tcW w:w="1764" w:type="dxa"/>
          </w:tcPr>
          <w:p w14:paraId="75895C5C" w14:textId="7B8DF11D" w:rsidR="00477061" w:rsidRDefault="00477061" w:rsidP="00477061">
            <w:r>
              <w:t>Affiliation:</w:t>
            </w:r>
          </w:p>
        </w:tc>
        <w:tc>
          <w:tcPr>
            <w:tcW w:w="4284" w:type="dxa"/>
          </w:tcPr>
          <w:p w14:paraId="31A92896" w14:textId="431F6DF8" w:rsidR="00477061" w:rsidRDefault="00781694" w:rsidP="00781694">
            <w:r>
              <w:t>Observational Health Data Sciences and Informatics (OHDSI), New York, NY; Janssen Research and Development, Raritan, NJ</w:t>
            </w:r>
          </w:p>
        </w:tc>
      </w:tr>
      <w:tr w:rsidR="00477061" w14:paraId="46066465" w14:textId="77777777" w:rsidTr="00477061">
        <w:trPr>
          <w:jc w:val="center"/>
        </w:trPr>
        <w:tc>
          <w:tcPr>
            <w:tcW w:w="1764" w:type="dxa"/>
          </w:tcPr>
          <w:p w14:paraId="6ECDAE64" w14:textId="0F67DBDA" w:rsidR="00477061" w:rsidRDefault="00477061" w:rsidP="00477061">
            <w:r>
              <w:t>Email:</w:t>
            </w:r>
          </w:p>
        </w:tc>
        <w:tc>
          <w:tcPr>
            <w:tcW w:w="4284" w:type="dxa"/>
          </w:tcPr>
          <w:p w14:paraId="63A82E55" w14:textId="0013BF5B" w:rsidR="00477061" w:rsidRDefault="00781694" w:rsidP="00477061">
            <w:r>
              <w:t>Jhardi10@its.jnj.com</w:t>
            </w:r>
          </w:p>
        </w:tc>
      </w:tr>
      <w:tr w:rsidR="00477061" w14:paraId="41283101" w14:textId="77777777" w:rsidTr="00477061">
        <w:trPr>
          <w:jc w:val="center"/>
        </w:trPr>
        <w:tc>
          <w:tcPr>
            <w:tcW w:w="1764" w:type="dxa"/>
          </w:tcPr>
          <w:p w14:paraId="17DAEF38" w14:textId="3DECD405" w:rsidR="00477061" w:rsidRDefault="00477061" w:rsidP="00477061">
            <w:r>
              <w:t>Presentation type (select one):</w:t>
            </w:r>
          </w:p>
        </w:tc>
        <w:tc>
          <w:tcPr>
            <w:tcW w:w="4284" w:type="dxa"/>
          </w:tcPr>
          <w:p w14:paraId="4517E7E6" w14:textId="7F00A533" w:rsidR="00477061" w:rsidRPr="00477061" w:rsidRDefault="00477061" w:rsidP="00075F56">
            <w:pPr>
              <w:rPr>
                <w:b/>
              </w:rPr>
            </w:pPr>
            <w:r w:rsidRPr="00477061">
              <w:t>Poster</w:t>
            </w:r>
          </w:p>
        </w:tc>
      </w:tr>
    </w:tbl>
    <w:p w14:paraId="31AB2A5E" w14:textId="77777777" w:rsidR="00477061" w:rsidRDefault="00477061" w:rsidP="00477061">
      <w:pPr>
        <w:pStyle w:val="AMIATitle"/>
        <w:jc w:val="left"/>
      </w:pPr>
    </w:p>
    <w:p w14:paraId="3F0BD187" w14:textId="695436D8" w:rsidR="00781CE1" w:rsidRDefault="00A861D4" w:rsidP="00940944">
      <w:pPr>
        <w:pStyle w:val="AMIATitle"/>
      </w:pPr>
      <w:r>
        <w:t xml:space="preserve">Comparative Effectiveness Research Opportunities using the OHDSI </w:t>
      </w:r>
      <w:r w:rsidR="000711A1">
        <w:t>Network</w:t>
      </w:r>
    </w:p>
    <w:p w14:paraId="4371F36C" w14:textId="3537D9FA" w:rsidR="00781CE1" w:rsidRDefault="00781694" w:rsidP="00940944">
      <w:pPr>
        <w:pStyle w:val="AMIAAuthors"/>
        <w:rPr>
          <w:vertAlign w:val="superscript"/>
        </w:rPr>
      </w:pPr>
      <w:r>
        <w:t>Jill Hardin</w:t>
      </w:r>
      <w:r w:rsidRPr="00781694">
        <w:rPr>
          <w:vertAlign w:val="superscript"/>
        </w:rPr>
        <w:t>1</w:t>
      </w:r>
      <w:proofErr w:type="gramStart"/>
      <w:r w:rsidRPr="00781694">
        <w:rPr>
          <w:vertAlign w:val="superscript"/>
        </w:rPr>
        <w:t>,2</w:t>
      </w:r>
      <w:proofErr w:type="gramEnd"/>
      <w:r w:rsidR="000876BD">
        <w:t xml:space="preserve">, </w:t>
      </w:r>
      <w:r>
        <w:t>Frank J. DeFalco</w:t>
      </w:r>
      <w:r w:rsidRPr="00781694">
        <w:rPr>
          <w:vertAlign w:val="superscript"/>
        </w:rPr>
        <w:t>1,2</w:t>
      </w:r>
      <w:r w:rsidR="000876BD">
        <w:t>,</w:t>
      </w:r>
      <w:r>
        <w:t xml:space="preserve"> </w:t>
      </w:r>
      <w:r w:rsidR="0021065B">
        <w:t>Erin Holve</w:t>
      </w:r>
      <w:r w:rsidR="0021065B" w:rsidRPr="0021065B">
        <w:rPr>
          <w:vertAlign w:val="superscript"/>
        </w:rPr>
        <w:t>3</w:t>
      </w:r>
      <w:r w:rsidR="0021065B">
        <w:t>, Martijn Schuemie</w:t>
      </w:r>
      <w:r w:rsidR="0021065B" w:rsidRPr="0021065B">
        <w:rPr>
          <w:vertAlign w:val="superscript"/>
        </w:rPr>
        <w:t>1,2</w:t>
      </w:r>
      <w:r w:rsidR="0021065B">
        <w:t xml:space="preserve">, </w:t>
      </w:r>
      <w:r>
        <w:t>Patrick B. Ryan</w:t>
      </w:r>
      <w:r w:rsidRPr="00781694">
        <w:rPr>
          <w:vertAlign w:val="superscript"/>
        </w:rPr>
        <w:t>1,2,</w:t>
      </w:r>
      <w:r w:rsidR="0021065B">
        <w:rPr>
          <w:vertAlign w:val="superscript"/>
        </w:rPr>
        <w:t>4</w:t>
      </w:r>
    </w:p>
    <w:p w14:paraId="6FE2F6AC" w14:textId="77777777" w:rsidR="00F57E98" w:rsidRPr="00F57E98" w:rsidRDefault="00F57E98" w:rsidP="00F57E98">
      <w:pPr>
        <w:pStyle w:val="AMIAAffiliations"/>
      </w:pPr>
    </w:p>
    <w:p w14:paraId="619D5DE1" w14:textId="572E187B" w:rsidR="00781CE1" w:rsidRPr="00F57E98" w:rsidRDefault="00781694" w:rsidP="00940944">
      <w:pPr>
        <w:pStyle w:val="AMIAAbstractHeading"/>
        <w:rPr>
          <w:sz w:val="24"/>
          <w:szCs w:val="24"/>
        </w:rPr>
      </w:pPr>
      <w:r w:rsidRPr="00F57E98">
        <w:rPr>
          <w:sz w:val="24"/>
          <w:szCs w:val="24"/>
          <w:vertAlign w:val="superscript"/>
        </w:rPr>
        <w:t>1</w:t>
      </w:r>
      <w:r w:rsidRPr="00F57E98">
        <w:rPr>
          <w:sz w:val="24"/>
          <w:szCs w:val="24"/>
        </w:rPr>
        <w:t xml:space="preserve">Observational Health Data Sciences and Informatics (OHDSI), New York, NY; </w:t>
      </w:r>
      <w:r w:rsidRPr="00F57E98">
        <w:rPr>
          <w:sz w:val="24"/>
          <w:szCs w:val="24"/>
          <w:vertAlign w:val="superscript"/>
        </w:rPr>
        <w:t>2</w:t>
      </w:r>
      <w:r w:rsidRPr="00F57E98">
        <w:rPr>
          <w:sz w:val="24"/>
          <w:szCs w:val="24"/>
        </w:rPr>
        <w:t xml:space="preserve">Janssen Research and Development, Raritan, NJ; </w:t>
      </w:r>
      <w:r w:rsidR="0021065B" w:rsidRPr="00F57E98">
        <w:rPr>
          <w:sz w:val="24"/>
          <w:szCs w:val="24"/>
          <w:vertAlign w:val="superscript"/>
        </w:rPr>
        <w:t>3</w:t>
      </w:r>
      <w:r w:rsidR="0021065B">
        <w:rPr>
          <w:sz w:val="24"/>
          <w:szCs w:val="24"/>
        </w:rPr>
        <w:t xml:space="preserve">Academy Health, </w:t>
      </w:r>
      <w:r w:rsidR="0021065B" w:rsidRPr="0021065B">
        <w:rPr>
          <w:color w:val="000000"/>
          <w:sz w:val="24"/>
          <w:szCs w:val="24"/>
        </w:rPr>
        <w:t>Washington, DC</w:t>
      </w:r>
      <w:r w:rsidR="0021065B">
        <w:rPr>
          <w:sz w:val="24"/>
          <w:szCs w:val="24"/>
        </w:rPr>
        <w:t>;</w:t>
      </w:r>
      <w:r w:rsidR="0021065B">
        <w:rPr>
          <w:sz w:val="24"/>
          <w:szCs w:val="24"/>
          <w:vertAlign w:val="superscript"/>
        </w:rPr>
        <w:t xml:space="preserve"> 4</w:t>
      </w:r>
      <w:r w:rsidRPr="00F57E98">
        <w:rPr>
          <w:sz w:val="24"/>
          <w:szCs w:val="24"/>
        </w:rPr>
        <w:t>Columbia University, New York, NY</w:t>
      </w:r>
    </w:p>
    <w:p w14:paraId="711E219D" w14:textId="77777777" w:rsidR="00F57E98" w:rsidRPr="000711A1" w:rsidRDefault="00F57E98" w:rsidP="00940944">
      <w:pPr>
        <w:pStyle w:val="AMIAHeading"/>
        <w:rPr>
          <w:szCs w:val="24"/>
        </w:rPr>
      </w:pPr>
      <w:r w:rsidRPr="000711A1">
        <w:rPr>
          <w:szCs w:val="24"/>
        </w:rPr>
        <w:t>Abstract</w:t>
      </w:r>
    </w:p>
    <w:p w14:paraId="0A6E2FB9" w14:textId="56B57E04" w:rsidR="00D66589" w:rsidRPr="00D66589" w:rsidRDefault="00F57E98" w:rsidP="00940944">
      <w:pPr>
        <w:pStyle w:val="AMIAHeading"/>
        <w:rPr>
          <w:b w:val="0"/>
          <w:i/>
        </w:rPr>
      </w:pPr>
      <w:r w:rsidRPr="00D66589">
        <w:rPr>
          <w:b w:val="0"/>
          <w:i/>
          <w:shd w:val="clear" w:color="auto" w:fill="FFFFFF"/>
        </w:rPr>
        <w:t xml:space="preserve">Comparative effectiveness research (CER) </w:t>
      </w:r>
      <w:r w:rsidR="00CD2D80">
        <w:rPr>
          <w:b w:val="0"/>
          <w:i/>
          <w:shd w:val="clear" w:color="auto" w:fill="FFFFFF"/>
        </w:rPr>
        <w:t xml:space="preserve">seeks to </w:t>
      </w:r>
      <w:r w:rsidRPr="00D66589">
        <w:rPr>
          <w:b w:val="0"/>
          <w:i/>
          <w:shd w:val="clear" w:color="auto" w:fill="FFFFFF"/>
        </w:rPr>
        <w:t>identif</w:t>
      </w:r>
      <w:r w:rsidR="00CD2D80">
        <w:rPr>
          <w:b w:val="0"/>
          <w:i/>
          <w:shd w:val="clear" w:color="auto" w:fill="FFFFFF"/>
        </w:rPr>
        <w:t>y</w:t>
      </w:r>
      <w:r w:rsidRPr="00D66589">
        <w:rPr>
          <w:b w:val="0"/>
          <w:i/>
          <w:shd w:val="clear" w:color="auto" w:fill="FFFFFF"/>
        </w:rPr>
        <w:t xml:space="preserve"> </w:t>
      </w:r>
      <w:r w:rsidR="00CD2D80">
        <w:rPr>
          <w:b w:val="0"/>
          <w:i/>
          <w:shd w:val="clear" w:color="auto" w:fill="FFFFFF"/>
        </w:rPr>
        <w:t>interventions that</w:t>
      </w:r>
      <w:r w:rsidRPr="00D66589">
        <w:rPr>
          <w:b w:val="0"/>
          <w:i/>
          <w:shd w:val="clear" w:color="auto" w:fill="FFFFFF"/>
        </w:rPr>
        <w:t xml:space="preserve"> work best for which patients under what circumstances. </w:t>
      </w:r>
      <w:r w:rsidR="00A8510C" w:rsidRPr="00D66589">
        <w:rPr>
          <w:b w:val="0"/>
          <w:i/>
          <w:shd w:val="clear" w:color="auto" w:fill="FFFFFF"/>
        </w:rPr>
        <w:t xml:space="preserve">As a response to a request from </w:t>
      </w:r>
      <w:r w:rsidR="00F45B3E">
        <w:rPr>
          <w:b w:val="0"/>
          <w:i/>
          <w:shd w:val="clear" w:color="auto" w:fill="FFFFFF"/>
        </w:rPr>
        <w:t>C</w:t>
      </w:r>
      <w:r w:rsidR="00A8510C" w:rsidRPr="00D66589">
        <w:rPr>
          <w:b w:val="0"/>
          <w:i/>
          <w:shd w:val="clear" w:color="auto" w:fill="FFFFFF"/>
        </w:rPr>
        <w:t>ongress, in the American Recovery and Reinvestment Act (ARRA) of 2009, t</w:t>
      </w:r>
      <w:r w:rsidRPr="00D66589">
        <w:rPr>
          <w:b w:val="0"/>
          <w:i/>
          <w:shd w:val="clear" w:color="auto" w:fill="FFFFFF"/>
        </w:rPr>
        <w:t xml:space="preserve">he </w:t>
      </w:r>
      <w:r w:rsidR="00C64954" w:rsidRPr="00C64954">
        <w:rPr>
          <w:b w:val="0"/>
          <w:i/>
        </w:rPr>
        <w:t>National Academy of Medicine</w:t>
      </w:r>
      <w:r w:rsidR="00C64954">
        <w:rPr>
          <w:b w:val="0"/>
        </w:rPr>
        <w:t xml:space="preserve"> </w:t>
      </w:r>
      <w:r w:rsidR="00C64954">
        <w:rPr>
          <w:b w:val="0"/>
          <w:i/>
          <w:shd w:val="clear" w:color="auto" w:fill="FFFFFF"/>
        </w:rPr>
        <w:t>(NA</w:t>
      </w:r>
      <w:r w:rsidRPr="00D66589">
        <w:rPr>
          <w:b w:val="0"/>
          <w:i/>
          <w:shd w:val="clear" w:color="auto" w:fill="FFFFFF"/>
        </w:rPr>
        <w:t xml:space="preserve">M) recommended a list of </w:t>
      </w:r>
      <w:r w:rsidR="00A8510C" w:rsidRPr="00D66589">
        <w:rPr>
          <w:b w:val="0"/>
          <w:i/>
          <w:shd w:val="clear" w:color="auto" w:fill="FFFFFF"/>
        </w:rPr>
        <w:t xml:space="preserve">100 </w:t>
      </w:r>
      <w:r w:rsidRPr="00D66589">
        <w:rPr>
          <w:b w:val="0"/>
          <w:i/>
          <w:shd w:val="clear" w:color="auto" w:fill="FFFFFF"/>
        </w:rPr>
        <w:t xml:space="preserve">national priorities for </w:t>
      </w:r>
      <w:r w:rsidR="00BA0C70">
        <w:rPr>
          <w:b w:val="0"/>
          <w:i/>
          <w:shd w:val="clear" w:color="auto" w:fill="FFFFFF"/>
        </w:rPr>
        <w:t>CER</w:t>
      </w:r>
      <w:r w:rsidRPr="00D66589">
        <w:rPr>
          <w:b w:val="0"/>
          <w:i/>
          <w:shd w:val="clear" w:color="auto" w:fill="FFFFFF"/>
        </w:rPr>
        <w:t xml:space="preserve"> </w:t>
      </w:r>
      <w:r w:rsidR="00A8510C" w:rsidRPr="00D66589">
        <w:rPr>
          <w:b w:val="0"/>
          <w:i/>
          <w:shd w:val="clear" w:color="auto" w:fill="FFFFFF"/>
        </w:rPr>
        <w:t xml:space="preserve">to be supported with ARRA funds. We examined this list of 100 </w:t>
      </w:r>
      <w:r w:rsidR="00BA0C70">
        <w:rPr>
          <w:b w:val="0"/>
          <w:i/>
          <w:shd w:val="clear" w:color="auto" w:fill="FFFFFF"/>
        </w:rPr>
        <w:t xml:space="preserve">research </w:t>
      </w:r>
      <w:r w:rsidR="00A8510C" w:rsidRPr="00D66589">
        <w:rPr>
          <w:b w:val="0"/>
          <w:i/>
          <w:shd w:val="clear" w:color="auto" w:fill="FFFFFF"/>
        </w:rPr>
        <w:t xml:space="preserve">topics to determine </w:t>
      </w:r>
      <w:r w:rsidR="00A8510C" w:rsidRPr="00D66589">
        <w:rPr>
          <w:b w:val="0"/>
          <w:i/>
        </w:rPr>
        <w:t xml:space="preserve">how many and which could be </w:t>
      </w:r>
      <w:r w:rsidR="00E54F0A">
        <w:rPr>
          <w:b w:val="0"/>
          <w:i/>
        </w:rPr>
        <w:t>addressed using the OHDSI platform</w:t>
      </w:r>
      <w:r w:rsidR="00A8510C" w:rsidRPr="00D66589">
        <w:rPr>
          <w:b w:val="0"/>
          <w:i/>
        </w:rPr>
        <w:t>.</w:t>
      </w:r>
      <w:r w:rsidR="00D66589">
        <w:rPr>
          <w:b w:val="0"/>
          <w:i/>
        </w:rPr>
        <w:t xml:space="preserve"> Amongst the top 100 research topics, 35 </w:t>
      </w:r>
      <w:r w:rsidR="00CD2D80">
        <w:rPr>
          <w:b w:val="0"/>
          <w:i/>
        </w:rPr>
        <w:t>were found amenable to study</w:t>
      </w:r>
      <w:r w:rsidR="00D66589">
        <w:rPr>
          <w:b w:val="0"/>
          <w:i/>
        </w:rPr>
        <w:t xml:space="preserve"> using OHDSI OMOP formatted data sources and OHDSI </w:t>
      </w:r>
      <w:r w:rsidR="00FA0628">
        <w:rPr>
          <w:b w:val="0"/>
          <w:i/>
        </w:rPr>
        <w:t>population estimation</w:t>
      </w:r>
      <w:r w:rsidR="00D66589">
        <w:rPr>
          <w:b w:val="0"/>
          <w:i/>
        </w:rPr>
        <w:t xml:space="preserve"> or patient prediction packages in R. Out of the 35 topics addressable</w:t>
      </w:r>
      <w:r w:rsidR="00CD2D80">
        <w:rPr>
          <w:b w:val="0"/>
          <w:i/>
        </w:rPr>
        <w:t>,</w:t>
      </w:r>
      <w:r w:rsidR="00D66589">
        <w:rPr>
          <w:b w:val="0"/>
          <w:i/>
        </w:rPr>
        <w:t xml:space="preserve"> 1</w:t>
      </w:r>
      <w:r w:rsidR="00414BE4">
        <w:rPr>
          <w:b w:val="0"/>
          <w:i/>
        </w:rPr>
        <w:t>9</w:t>
      </w:r>
      <w:r w:rsidR="00D66589">
        <w:rPr>
          <w:b w:val="0"/>
          <w:i/>
        </w:rPr>
        <w:t xml:space="preserve"> </w:t>
      </w:r>
      <w:r w:rsidR="00A861D4">
        <w:rPr>
          <w:b w:val="0"/>
          <w:i/>
        </w:rPr>
        <w:t>investig</w:t>
      </w:r>
      <w:r w:rsidR="00E54F0A">
        <w:rPr>
          <w:b w:val="0"/>
          <w:i/>
        </w:rPr>
        <w:t xml:space="preserve">ate </w:t>
      </w:r>
      <w:r w:rsidR="00784598" w:rsidRPr="009A127D">
        <w:rPr>
          <w:b w:val="0"/>
          <w:i/>
        </w:rPr>
        <w:t>pharmacological agent</w:t>
      </w:r>
      <w:r w:rsidR="00FA44F1" w:rsidRPr="009A127D">
        <w:rPr>
          <w:b w:val="0"/>
          <w:i/>
        </w:rPr>
        <w:t>s</w:t>
      </w:r>
      <w:r w:rsidR="00E54F0A">
        <w:rPr>
          <w:b w:val="0"/>
          <w:i/>
        </w:rPr>
        <w:t xml:space="preserve">. </w:t>
      </w:r>
      <w:r w:rsidR="00A861D4">
        <w:rPr>
          <w:b w:val="0"/>
          <w:i/>
        </w:rPr>
        <w:t xml:space="preserve">This analysis represents an opportunity for one third of the top 100 national CER priorities to be addressed and operationalized using </w:t>
      </w:r>
      <w:r w:rsidR="003D37CA">
        <w:rPr>
          <w:b w:val="0"/>
          <w:i/>
        </w:rPr>
        <w:t xml:space="preserve">the </w:t>
      </w:r>
      <w:r w:rsidR="004E42C5">
        <w:rPr>
          <w:b w:val="0"/>
          <w:i/>
        </w:rPr>
        <w:t xml:space="preserve">OHDSI </w:t>
      </w:r>
      <w:r w:rsidR="003D37CA">
        <w:rPr>
          <w:b w:val="0"/>
          <w:i/>
        </w:rPr>
        <w:t>platform</w:t>
      </w:r>
      <w:r w:rsidR="00A861D4">
        <w:rPr>
          <w:b w:val="0"/>
          <w:i/>
        </w:rPr>
        <w:t xml:space="preserve">. </w:t>
      </w:r>
    </w:p>
    <w:p w14:paraId="1330ECF5" w14:textId="7CDA8910" w:rsidR="00D66589" w:rsidRDefault="0021065B" w:rsidP="00940944">
      <w:pPr>
        <w:pStyle w:val="AMIAHeading"/>
      </w:pPr>
      <w:r>
        <w:t>Background</w:t>
      </w:r>
    </w:p>
    <w:p w14:paraId="23D8E464" w14:textId="0E8A5FD8" w:rsidR="00EB148A" w:rsidRPr="00FA0628" w:rsidRDefault="003622F0" w:rsidP="00940944">
      <w:pPr>
        <w:pStyle w:val="AMIAHeading"/>
        <w:rPr>
          <w:b w:val="0"/>
        </w:rPr>
      </w:pPr>
      <w:r w:rsidRPr="00FA0628">
        <w:rPr>
          <w:b w:val="0"/>
        </w:rPr>
        <w:t xml:space="preserve">The </w:t>
      </w:r>
      <w:r w:rsidR="00C64954">
        <w:rPr>
          <w:b w:val="0"/>
        </w:rPr>
        <w:t>NAM</w:t>
      </w:r>
      <w:r w:rsidR="00E25401">
        <w:rPr>
          <w:b w:val="0"/>
        </w:rPr>
        <w:t xml:space="preserve"> </w:t>
      </w:r>
      <w:r w:rsidRPr="00FA0628">
        <w:rPr>
          <w:b w:val="0"/>
        </w:rPr>
        <w:t>list of national CER priorities</w:t>
      </w:r>
      <w:r w:rsidR="00C64954" w:rsidRPr="00C64954">
        <w:rPr>
          <w:b w:val="0"/>
          <w:vertAlign w:val="superscript"/>
        </w:rPr>
        <w:t>1</w:t>
      </w:r>
      <w:r w:rsidRPr="00FA0628">
        <w:rPr>
          <w:b w:val="0"/>
        </w:rPr>
        <w:t xml:space="preserve"> identifie</w:t>
      </w:r>
      <w:r w:rsidR="00562427">
        <w:rPr>
          <w:b w:val="0"/>
        </w:rPr>
        <w:t>d</w:t>
      </w:r>
      <w:r w:rsidRPr="00FA0628">
        <w:rPr>
          <w:b w:val="0"/>
        </w:rPr>
        <w:t xml:space="preserve"> </w:t>
      </w:r>
      <w:r w:rsidR="00562427">
        <w:rPr>
          <w:b w:val="0"/>
        </w:rPr>
        <w:t xml:space="preserve">areas of research </w:t>
      </w:r>
      <w:r w:rsidRPr="00FA0628">
        <w:rPr>
          <w:b w:val="0"/>
        </w:rPr>
        <w:t>with potential for the highest impact</w:t>
      </w:r>
      <w:r w:rsidR="00562427">
        <w:rPr>
          <w:b w:val="0"/>
        </w:rPr>
        <w:t xml:space="preserve"> on patient care</w:t>
      </w:r>
      <w:r w:rsidRPr="00FA0628">
        <w:rPr>
          <w:b w:val="0"/>
        </w:rPr>
        <w:t xml:space="preserve"> and informs the</w:t>
      </w:r>
      <w:r w:rsidR="00567555" w:rsidRPr="00FA0628">
        <w:rPr>
          <w:b w:val="0"/>
        </w:rPr>
        <w:t xml:space="preserve"> </w:t>
      </w:r>
      <w:r w:rsidR="00562427">
        <w:rPr>
          <w:b w:val="0"/>
        </w:rPr>
        <w:t xml:space="preserve">priorities for the </w:t>
      </w:r>
      <w:r w:rsidR="00567555" w:rsidRPr="00FA0628">
        <w:rPr>
          <w:b w:val="0"/>
        </w:rPr>
        <w:t>Patient-Centered Outcomes Research Institute (PCORI)</w:t>
      </w:r>
      <w:r w:rsidRPr="00FA0628">
        <w:rPr>
          <w:b w:val="0"/>
        </w:rPr>
        <w:t>. PCORI</w:t>
      </w:r>
      <w:r w:rsidR="00567555" w:rsidRPr="00FA0628">
        <w:rPr>
          <w:b w:val="0"/>
        </w:rPr>
        <w:t xml:space="preserve"> was established by the Affordable Care Act (ACA) to address the effectiveness of </w:t>
      </w:r>
      <w:r w:rsidR="00BA0C70">
        <w:rPr>
          <w:b w:val="0"/>
        </w:rPr>
        <w:t xml:space="preserve">existing </w:t>
      </w:r>
      <w:r w:rsidR="00567555" w:rsidRPr="00FA0628">
        <w:rPr>
          <w:b w:val="0"/>
        </w:rPr>
        <w:t xml:space="preserve">drugs </w:t>
      </w:r>
      <w:r w:rsidRPr="00FA0628">
        <w:rPr>
          <w:b w:val="0"/>
        </w:rPr>
        <w:t xml:space="preserve">and </w:t>
      </w:r>
      <w:r w:rsidR="00567555" w:rsidRPr="00FA0628">
        <w:rPr>
          <w:b w:val="0"/>
        </w:rPr>
        <w:t>treatments</w:t>
      </w:r>
      <w:r w:rsidR="00BA0C70">
        <w:rPr>
          <w:b w:val="0"/>
        </w:rPr>
        <w:t>. T</w:t>
      </w:r>
      <w:r w:rsidR="00567555" w:rsidRPr="00FA0628">
        <w:rPr>
          <w:b w:val="0"/>
        </w:rPr>
        <w:t>he impact of PCORI has not yet been fully realized</w:t>
      </w:r>
      <w:r w:rsidR="00C64954">
        <w:rPr>
          <w:b w:val="0"/>
          <w:vertAlign w:val="superscript"/>
        </w:rPr>
        <w:t>2</w:t>
      </w:r>
      <w:r w:rsidR="00567555" w:rsidRPr="00FA0628">
        <w:rPr>
          <w:b w:val="0"/>
        </w:rPr>
        <w:t xml:space="preserve"> and </w:t>
      </w:r>
      <w:r w:rsidRPr="00FA0628">
        <w:rPr>
          <w:b w:val="0"/>
        </w:rPr>
        <w:t xml:space="preserve">with </w:t>
      </w:r>
      <w:r w:rsidR="00567555" w:rsidRPr="00FA0628">
        <w:rPr>
          <w:b w:val="0"/>
        </w:rPr>
        <w:t>funding for PCORI authorized through 2019</w:t>
      </w:r>
      <w:r w:rsidR="00CD2D80">
        <w:rPr>
          <w:b w:val="0"/>
        </w:rPr>
        <w:t>,</w:t>
      </w:r>
      <w:r w:rsidR="00567555" w:rsidRPr="00FA0628">
        <w:rPr>
          <w:b w:val="0"/>
        </w:rPr>
        <w:t xml:space="preserve"> conducting CER to address national priorities is crucial. </w:t>
      </w:r>
      <w:r w:rsidRPr="00FA0628">
        <w:rPr>
          <w:b w:val="0"/>
        </w:rPr>
        <w:t xml:space="preserve">The OHDSI multi-stakeholder, interdisciplinary collaborative is well positioned to address CER priorities as it employs a common data model (CDM), standard </w:t>
      </w:r>
      <w:r w:rsidR="00FA0628" w:rsidRPr="00FA0628">
        <w:rPr>
          <w:b w:val="0"/>
        </w:rPr>
        <w:t xml:space="preserve">population </w:t>
      </w:r>
      <w:r w:rsidR="006D74CB">
        <w:rPr>
          <w:b w:val="0"/>
        </w:rPr>
        <w:t xml:space="preserve">estimation </w:t>
      </w:r>
      <w:r w:rsidR="00FA0628" w:rsidRPr="00FA0628">
        <w:rPr>
          <w:b w:val="0"/>
        </w:rPr>
        <w:t>and patient level prediction tools</w:t>
      </w:r>
      <w:r w:rsidRPr="00FA0628">
        <w:rPr>
          <w:b w:val="0"/>
        </w:rPr>
        <w:t xml:space="preserve">, and represents 600 million patient lives across </w:t>
      </w:r>
      <w:r w:rsidR="00FA0628" w:rsidRPr="00FA0628">
        <w:rPr>
          <w:b w:val="0"/>
        </w:rPr>
        <w:t>several</w:t>
      </w:r>
      <w:r w:rsidRPr="00FA0628">
        <w:rPr>
          <w:b w:val="0"/>
        </w:rPr>
        <w:t xml:space="preserve"> data sources. </w:t>
      </w:r>
    </w:p>
    <w:p w14:paraId="1E6DFEF4" w14:textId="4FEB59F5" w:rsidR="0021065B" w:rsidRDefault="0021065B" w:rsidP="00940944">
      <w:pPr>
        <w:pStyle w:val="AMIAHeading"/>
      </w:pPr>
      <w:r>
        <w:t>Methods</w:t>
      </w:r>
    </w:p>
    <w:p w14:paraId="47AA0704" w14:textId="0FFED7B1" w:rsidR="00345FDF" w:rsidRDefault="00FA0628" w:rsidP="00345FDF">
      <w:pPr>
        <w:pStyle w:val="NormalWeb"/>
        <w:rPr>
          <w:sz w:val="20"/>
          <w:szCs w:val="20"/>
          <w:shd w:val="clear" w:color="auto" w:fill="FFFFFF"/>
        </w:rPr>
      </w:pPr>
      <w:r w:rsidRPr="006D74CB">
        <w:rPr>
          <w:sz w:val="20"/>
          <w:szCs w:val="20"/>
        </w:rPr>
        <w:t xml:space="preserve">The list of 100 national priorities for CER was obtained from the website of the health and medicine division of the </w:t>
      </w:r>
      <w:hyperlink r:id="rId8" w:tgtFrame="_blank" w:history="1">
        <w:r w:rsidRPr="006D74CB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National Academies of Sciences, Engineering, and Medicine</w:t>
        </w:r>
      </w:hyperlink>
      <w:r w:rsidR="00C64954">
        <w:rPr>
          <w:sz w:val="20"/>
          <w:szCs w:val="20"/>
          <w:shd w:val="clear" w:color="auto" w:fill="FFFFFF"/>
          <w:vertAlign w:val="superscript"/>
        </w:rPr>
        <w:t>1</w:t>
      </w:r>
      <w:r w:rsidRPr="006D74CB">
        <w:rPr>
          <w:sz w:val="20"/>
          <w:szCs w:val="20"/>
          <w:shd w:val="clear" w:color="auto" w:fill="FFFFFF"/>
        </w:rPr>
        <w:t>.</w:t>
      </w:r>
      <w:r w:rsidRPr="006D74C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6D74CB" w:rsidRPr="006D74CB">
        <w:rPr>
          <w:sz w:val="20"/>
          <w:szCs w:val="20"/>
          <w:shd w:val="clear" w:color="auto" w:fill="FFFFFF"/>
        </w:rPr>
        <w:t xml:space="preserve">Each research priority topic was evaluated </w:t>
      </w:r>
      <w:r w:rsidR="00FA44F1">
        <w:rPr>
          <w:sz w:val="20"/>
          <w:szCs w:val="20"/>
          <w:shd w:val="clear" w:color="auto" w:fill="FFFFFF"/>
        </w:rPr>
        <w:t xml:space="preserve">by three experts in database research based on availability of critical exposure and endpoint data. </w:t>
      </w:r>
      <w:r w:rsidR="00414BE4">
        <w:rPr>
          <w:sz w:val="20"/>
          <w:szCs w:val="20"/>
          <w:shd w:val="clear" w:color="auto" w:fill="FFFFFF"/>
        </w:rPr>
        <w:t>Definitions of t</w:t>
      </w:r>
      <w:r w:rsidR="006D74CB" w:rsidRPr="006D74CB">
        <w:rPr>
          <w:sz w:val="20"/>
          <w:szCs w:val="20"/>
          <w:shd w:val="clear" w:color="auto" w:fill="FFFFFF"/>
        </w:rPr>
        <w:t>he population</w:t>
      </w:r>
      <w:r w:rsidR="00414BE4">
        <w:rPr>
          <w:sz w:val="20"/>
          <w:szCs w:val="20"/>
          <w:shd w:val="clear" w:color="auto" w:fill="FFFFFF"/>
        </w:rPr>
        <w:t>(s)</w:t>
      </w:r>
      <w:r w:rsidR="006D74CB" w:rsidRPr="006D74CB">
        <w:rPr>
          <w:sz w:val="20"/>
          <w:szCs w:val="20"/>
          <w:shd w:val="clear" w:color="auto" w:fill="FFFFFF"/>
        </w:rPr>
        <w:t xml:space="preserve"> under study, the target exposure</w:t>
      </w:r>
      <w:r w:rsidR="00414BE4">
        <w:rPr>
          <w:sz w:val="20"/>
          <w:szCs w:val="20"/>
          <w:shd w:val="clear" w:color="auto" w:fill="FFFFFF"/>
        </w:rPr>
        <w:t>(s</w:t>
      </w:r>
      <w:proofErr w:type="gramStart"/>
      <w:r w:rsidR="00414BE4">
        <w:rPr>
          <w:sz w:val="20"/>
          <w:szCs w:val="20"/>
          <w:shd w:val="clear" w:color="auto" w:fill="FFFFFF"/>
        </w:rPr>
        <w:t>)</w:t>
      </w:r>
      <w:r w:rsidR="00FD59DB">
        <w:rPr>
          <w:sz w:val="20"/>
          <w:szCs w:val="20"/>
          <w:shd w:val="clear" w:color="auto" w:fill="FFFFFF"/>
        </w:rPr>
        <w:t>(</w:t>
      </w:r>
      <w:proofErr w:type="gramEnd"/>
      <w:r w:rsidR="00FD59DB">
        <w:rPr>
          <w:sz w:val="20"/>
          <w:szCs w:val="20"/>
          <w:shd w:val="clear" w:color="auto" w:fill="FFFFFF"/>
        </w:rPr>
        <w:t>T)</w:t>
      </w:r>
      <w:r w:rsidR="006D74CB" w:rsidRPr="006D74CB">
        <w:rPr>
          <w:sz w:val="20"/>
          <w:szCs w:val="20"/>
          <w:shd w:val="clear" w:color="auto" w:fill="FFFFFF"/>
        </w:rPr>
        <w:t>, the comparator group</w:t>
      </w:r>
      <w:r w:rsidR="00414BE4">
        <w:rPr>
          <w:sz w:val="20"/>
          <w:szCs w:val="20"/>
          <w:shd w:val="clear" w:color="auto" w:fill="FFFFFF"/>
        </w:rPr>
        <w:t>(s)</w:t>
      </w:r>
      <w:r w:rsidR="00FD59DB">
        <w:rPr>
          <w:sz w:val="20"/>
          <w:szCs w:val="20"/>
          <w:shd w:val="clear" w:color="auto" w:fill="FFFFFF"/>
        </w:rPr>
        <w:t>(C)</w:t>
      </w:r>
      <w:r w:rsidR="006D74CB" w:rsidRPr="006D74CB">
        <w:rPr>
          <w:sz w:val="20"/>
          <w:szCs w:val="20"/>
          <w:shd w:val="clear" w:color="auto" w:fill="FFFFFF"/>
        </w:rPr>
        <w:t>, and the outcome</w:t>
      </w:r>
      <w:r w:rsidR="00FD59DB">
        <w:rPr>
          <w:sz w:val="20"/>
          <w:szCs w:val="20"/>
          <w:shd w:val="clear" w:color="auto" w:fill="FFFFFF"/>
        </w:rPr>
        <w:t xml:space="preserve">s(O) </w:t>
      </w:r>
      <w:r w:rsidR="006D74CB" w:rsidRPr="006D74CB">
        <w:rPr>
          <w:sz w:val="20"/>
          <w:szCs w:val="20"/>
          <w:shd w:val="clear" w:color="auto" w:fill="FFFFFF"/>
        </w:rPr>
        <w:t xml:space="preserve">were </w:t>
      </w:r>
      <w:r w:rsidR="00414BE4">
        <w:rPr>
          <w:sz w:val="20"/>
          <w:szCs w:val="20"/>
          <w:shd w:val="clear" w:color="auto" w:fill="FFFFFF"/>
        </w:rPr>
        <w:t>assigned</w:t>
      </w:r>
      <w:r w:rsidR="006D74CB" w:rsidRPr="006D74CB">
        <w:rPr>
          <w:sz w:val="20"/>
          <w:szCs w:val="20"/>
          <w:shd w:val="clear" w:color="auto" w:fill="FFFFFF"/>
        </w:rPr>
        <w:t xml:space="preserve"> for each</w:t>
      </w:r>
      <w:r w:rsidR="00414BE4">
        <w:rPr>
          <w:sz w:val="20"/>
          <w:szCs w:val="20"/>
          <w:shd w:val="clear" w:color="auto" w:fill="FFFFFF"/>
        </w:rPr>
        <w:t xml:space="preserve"> </w:t>
      </w:r>
      <w:r w:rsidR="006D74CB" w:rsidRPr="006D74CB">
        <w:rPr>
          <w:sz w:val="20"/>
          <w:szCs w:val="20"/>
          <w:shd w:val="clear" w:color="auto" w:fill="FFFFFF"/>
        </w:rPr>
        <w:t>research topic</w:t>
      </w:r>
      <w:r w:rsidR="00AE1D7D">
        <w:rPr>
          <w:sz w:val="20"/>
          <w:szCs w:val="20"/>
          <w:shd w:val="clear" w:color="auto" w:fill="FFFFFF"/>
        </w:rPr>
        <w:t xml:space="preserve"> addressable using </w:t>
      </w:r>
      <w:r w:rsidR="003D37CA">
        <w:rPr>
          <w:sz w:val="20"/>
          <w:szCs w:val="20"/>
          <w:shd w:val="clear" w:color="auto" w:fill="FFFFFF"/>
        </w:rPr>
        <w:t>OHDSI</w:t>
      </w:r>
      <w:r w:rsidR="00AE1D7D">
        <w:rPr>
          <w:sz w:val="20"/>
          <w:szCs w:val="20"/>
          <w:shd w:val="clear" w:color="auto" w:fill="FFFFFF"/>
        </w:rPr>
        <w:t xml:space="preserve"> </w:t>
      </w:r>
      <w:r w:rsidR="003D37CA">
        <w:rPr>
          <w:sz w:val="20"/>
          <w:szCs w:val="20"/>
          <w:shd w:val="clear" w:color="auto" w:fill="FFFFFF"/>
        </w:rPr>
        <w:t xml:space="preserve">platform </w:t>
      </w:r>
      <w:r w:rsidR="00AE1D7D">
        <w:rPr>
          <w:sz w:val="20"/>
          <w:szCs w:val="20"/>
          <w:shd w:val="clear" w:color="auto" w:fill="FFFFFF"/>
        </w:rPr>
        <w:t>data</w:t>
      </w:r>
      <w:r w:rsidR="006D74CB" w:rsidRPr="006D74CB">
        <w:rPr>
          <w:sz w:val="20"/>
          <w:szCs w:val="20"/>
          <w:shd w:val="clear" w:color="auto" w:fill="FFFFFF"/>
        </w:rPr>
        <w:t xml:space="preserve">.  </w:t>
      </w:r>
    </w:p>
    <w:p w14:paraId="241AC45D" w14:textId="43EC8620" w:rsidR="00345FDF" w:rsidRDefault="0021065B" w:rsidP="00345FDF">
      <w:pPr>
        <w:pStyle w:val="NormalWeb"/>
        <w:rPr>
          <w:b/>
          <w:sz w:val="20"/>
          <w:szCs w:val="20"/>
        </w:rPr>
      </w:pPr>
      <w:r w:rsidRPr="00345FDF">
        <w:rPr>
          <w:b/>
          <w:sz w:val="20"/>
          <w:szCs w:val="20"/>
        </w:rPr>
        <w:t xml:space="preserve">Results </w:t>
      </w:r>
    </w:p>
    <w:p w14:paraId="63E26226" w14:textId="3EA54A96" w:rsidR="00345FDF" w:rsidRPr="00345FDF" w:rsidRDefault="00345FDF" w:rsidP="00345FDF">
      <w:pPr>
        <w:pStyle w:val="NormalWeb"/>
        <w:rPr>
          <w:sz w:val="20"/>
          <w:szCs w:val="20"/>
        </w:rPr>
      </w:pPr>
      <w:r w:rsidRPr="00345FDF">
        <w:rPr>
          <w:sz w:val="20"/>
          <w:szCs w:val="20"/>
        </w:rPr>
        <w:t xml:space="preserve">Among the top 100 </w:t>
      </w:r>
      <w:r w:rsidR="00C64954">
        <w:rPr>
          <w:sz w:val="20"/>
          <w:szCs w:val="20"/>
        </w:rPr>
        <w:t>NAM</w:t>
      </w:r>
      <w:r w:rsidRPr="00345FDF">
        <w:rPr>
          <w:sz w:val="20"/>
          <w:szCs w:val="20"/>
        </w:rPr>
        <w:t xml:space="preserve"> CER research priority topics</w:t>
      </w:r>
      <w:r w:rsidR="006F1D36">
        <w:rPr>
          <w:sz w:val="20"/>
          <w:szCs w:val="20"/>
        </w:rPr>
        <w:t>,</w:t>
      </w:r>
      <w:r w:rsidRPr="00345FDF">
        <w:rPr>
          <w:sz w:val="20"/>
          <w:szCs w:val="20"/>
        </w:rPr>
        <w:t xml:space="preserve"> 35 were determined addressable using </w:t>
      </w:r>
      <w:r w:rsidR="00E54F0A">
        <w:rPr>
          <w:sz w:val="20"/>
          <w:szCs w:val="20"/>
        </w:rPr>
        <w:t>the</w:t>
      </w:r>
      <w:r w:rsidRPr="00345FDF">
        <w:rPr>
          <w:sz w:val="20"/>
          <w:szCs w:val="20"/>
        </w:rPr>
        <w:t xml:space="preserve"> OHDSI </w:t>
      </w:r>
      <w:r w:rsidR="00E54F0A">
        <w:rPr>
          <w:sz w:val="20"/>
          <w:szCs w:val="20"/>
        </w:rPr>
        <w:t>platform data and tools</w:t>
      </w:r>
      <w:r w:rsidRPr="00345FDF">
        <w:rPr>
          <w:sz w:val="20"/>
          <w:szCs w:val="20"/>
        </w:rPr>
        <w:t xml:space="preserve">. </w:t>
      </w:r>
      <w:r>
        <w:rPr>
          <w:sz w:val="20"/>
          <w:szCs w:val="20"/>
        </w:rPr>
        <w:t>Among the</w:t>
      </w:r>
      <w:r w:rsidR="00FD59DB">
        <w:rPr>
          <w:sz w:val="20"/>
          <w:szCs w:val="20"/>
        </w:rPr>
        <w:t xml:space="preserve"> identified</w:t>
      </w:r>
      <w:r>
        <w:rPr>
          <w:sz w:val="20"/>
          <w:szCs w:val="20"/>
        </w:rPr>
        <w:t xml:space="preserve"> 35 CER </w:t>
      </w:r>
      <w:r w:rsidR="00FD59DB">
        <w:rPr>
          <w:sz w:val="20"/>
          <w:szCs w:val="20"/>
        </w:rPr>
        <w:t xml:space="preserve">addressable </w:t>
      </w:r>
      <w:r>
        <w:rPr>
          <w:sz w:val="20"/>
          <w:szCs w:val="20"/>
        </w:rPr>
        <w:t>topics</w:t>
      </w:r>
      <w:r w:rsidR="006F1D36">
        <w:rPr>
          <w:sz w:val="20"/>
          <w:szCs w:val="20"/>
        </w:rPr>
        <w:t>,</w:t>
      </w:r>
      <w:r>
        <w:rPr>
          <w:sz w:val="20"/>
          <w:szCs w:val="20"/>
        </w:rPr>
        <w:t xml:space="preserve"> 16 ranked in the </w:t>
      </w:r>
      <w:r w:rsidR="00E25401">
        <w:rPr>
          <w:sz w:val="20"/>
          <w:szCs w:val="20"/>
        </w:rPr>
        <w:t xml:space="preserve">upper two quartiles </w:t>
      </w:r>
      <w:r>
        <w:rPr>
          <w:sz w:val="20"/>
          <w:szCs w:val="20"/>
        </w:rPr>
        <w:t xml:space="preserve">and 19 ranked in the bottom two </w:t>
      </w:r>
      <w:r w:rsidR="00E25401">
        <w:rPr>
          <w:sz w:val="20"/>
          <w:szCs w:val="20"/>
        </w:rPr>
        <w:t>quartiles.</w:t>
      </w:r>
      <w:r>
        <w:rPr>
          <w:sz w:val="20"/>
          <w:szCs w:val="20"/>
        </w:rPr>
        <w:t xml:space="preserve"> </w:t>
      </w:r>
      <w:r w:rsidR="0005158D">
        <w:rPr>
          <w:sz w:val="20"/>
          <w:szCs w:val="20"/>
        </w:rPr>
        <w:t>Nineteen of the 35 OHDSI addressable studies included use</w:t>
      </w:r>
      <w:r w:rsidR="00C64954">
        <w:rPr>
          <w:sz w:val="20"/>
          <w:szCs w:val="20"/>
        </w:rPr>
        <w:t xml:space="preserve"> of </w:t>
      </w:r>
      <w:r w:rsidR="0005158D">
        <w:rPr>
          <w:sz w:val="20"/>
          <w:szCs w:val="20"/>
        </w:rPr>
        <w:t>pharmacologic agent</w:t>
      </w:r>
      <w:r w:rsidR="003D37CA">
        <w:rPr>
          <w:sz w:val="20"/>
          <w:szCs w:val="20"/>
        </w:rPr>
        <w:t>s</w:t>
      </w:r>
      <w:r w:rsidR="0005158D">
        <w:rPr>
          <w:sz w:val="20"/>
          <w:szCs w:val="20"/>
        </w:rPr>
        <w:t>. Out of the 35 studies</w:t>
      </w:r>
      <w:r w:rsidR="006F1D36">
        <w:rPr>
          <w:sz w:val="20"/>
          <w:szCs w:val="20"/>
        </w:rPr>
        <w:t>,</w:t>
      </w:r>
      <w:r w:rsidR="0005158D">
        <w:rPr>
          <w:sz w:val="20"/>
          <w:szCs w:val="20"/>
        </w:rPr>
        <w:t xml:space="preserve"> 15 research areas are represented</w:t>
      </w:r>
      <w:r w:rsidR="000B6860">
        <w:rPr>
          <w:sz w:val="20"/>
          <w:szCs w:val="20"/>
        </w:rPr>
        <w:t>,</w:t>
      </w:r>
      <w:r w:rsidR="0005158D">
        <w:rPr>
          <w:sz w:val="20"/>
          <w:szCs w:val="20"/>
        </w:rPr>
        <w:t xml:space="preserve"> eight of </w:t>
      </w:r>
      <w:r w:rsidR="0096371D">
        <w:rPr>
          <w:sz w:val="20"/>
          <w:szCs w:val="20"/>
        </w:rPr>
        <w:t>which are</w:t>
      </w:r>
      <w:r w:rsidR="0005158D">
        <w:rPr>
          <w:sz w:val="20"/>
          <w:szCs w:val="20"/>
        </w:rPr>
        <w:t xml:space="preserve"> in the cardiovascular and peripheral </w:t>
      </w:r>
      <w:r w:rsidR="0005158D">
        <w:rPr>
          <w:sz w:val="20"/>
          <w:szCs w:val="20"/>
        </w:rPr>
        <w:lastRenderedPageBreak/>
        <w:t xml:space="preserve">vascular disease area (Figure 1). </w:t>
      </w:r>
      <w:r w:rsidR="00FF5F17">
        <w:rPr>
          <w:sz w:val="20"/>
          <w:szCs w:val="20"/>
        </w:rPr>
        <w:t>Out the eight studies in the top quartile T</w:t>
      </w:r>
      <w:r w:rsidR="005E41AB">
        <w:rPr>
          <w:sz w:val="20"/>
          <w:szCs w:val="20"/>
        </w:rPr>
        <w:t xml:space="preserve"> consisted of four medical procedures and four drug treatments, while the </w:t>
      </w:r>
      <w:r w:rsidR="00FF5F17">
        <w:rPr>
          <w:sz w:val="20"/>
          <w:szCs w:val="20"/>
        </w:rPr>
        <w:t>C</w:t>
      </w:r>
      <w:r w:rsidR="005E41AB">
        <w:rPr>
          <w:sz w:val="20"/>
          <w:szCs w:val="20"/>
        </w:rPr>
        <w:t xml:space="preserve"> consisted of three medical procedures and five drug treatments</w:t>
      </w:r>
      <w:r w:rsidR="00AA62C2">
        <w:rPr>
          <w:sz w:val="20"/>
          <w:szCs w:val="20"/>
        </w:rPr>
        <w:t xml:space="preserve"> (Table 1)</w:t>
      </w:r>
      <w:r w:rsidR="005E41AB">
        <w:rPr>
          <w:sz w:val="20"/>
          <w:szCs w:val="20"/>
        </w:rPr>
        <w:t xml:space="preserve">. </w:t>
      </w:r>
    </w:p>
    <w:p w14:paraId="12E6FB5A" w14:textId="5BD66303" w:rsidR="0021065B" w:rsidRDefault="0021065B" w:rsidP="00940944">
      <w:pPr>
        <w:pStyle w:val="AMIAHeading"/>
      </w:pPr>
      <w:r>
        <w:t>Discussion</w:t>
      </w:r>
    </w:p>
    <w:p w14:paraId="1ED65044" w14:textId="5B37CE3A" w:rsidR="00FD59DB" w:rsidRPr="00FD59DB" w:rsidRDefault="00FD59DB" w:rsidP="00940944">
      <w:pPr>
        <w:pStyle w:val="AMIAHeading"/>
        <w:rPr>
          <w:b w:val="0"/>
        </w:rPr>
      </w:pPr>
      <w:r w:rsidRPr="00FD59DB">
        <w:rPr>
          <w:b w:val="0"/>
        </w:rPr>
        <w:t xml:space="preserve">Although the </w:t>
      </w:r>
      <w:r w:rsidR="00AE1D7D">
        <w:rPr>
          <w:b w:val="0"/>
        </w:rPr>
        <w:t>NAM</w:t>
      </w:r>
      <w:r w:rsidRPr="00FD59DB">
        <w:rPr>
          <w:b w:val="0"/>
        </w:rPr>
        <w:t xml:space="preserve"> published the 100 CER research priority topics</w:t>
      </w:r>
      <w:r w:rsidR="00F45B3E">
        <w:rPr>
          <w:b w:val="0"/>
        </w:rPr>
        <w:t>,</w:t>
      </w:r>
      <w:r w:rsidRPr="00FD59DB">
        <w:rPr>
          <w:b w:val="0"/>
        </w:rPr>
        <w:t xml:space="preserve"> further definition </w:t>
      </w:r>
      <w:r w:rsidR="000711A1">
        <w:rPr>
          <w:b w:val="0"/>
        </w:rPr>
        <w:t>wa</w:t>
      </w:r>
      <w:r w:rsidRPr="00FD59DB">
        <w:rPr>
          <w:b w:val="0"/>
        </w:rPr>
        <w:t xml:space="preserve">s required to </w:t>
      </w:r>
      <w:r w:rsidR="000711A1">
        <w:rPr>
          <w:b w:val="0"/>
        </w:rPr>
        <w:t>elucidate</w:t>
      </w:r>
      <w:r w:rsidRPr="00FD59DB">
        <w:rPr>
          <w:b w:val="0"/>
        </w:rPr>
        <w:t xml:space="preserve"> </w:t>
      </w:r>
      <w:r w:rsidR="000711A1">
        <w:rPr>
          <w:b w:val="0"/>
        </w:rPr>
        <w:t>clear</w:t>
      </w:r>
      <w:r w:rsidRPr="00FD59DB">
        <w:rPr>
          <w:b w:val="0"/>
        </w:rPr>
        <w:t xml:space="preserve"> CER research question</w:t>
      </w:r>
      <w:r w:rsidR="000711A1">
        <w:rPr>
          <w:b w:val="0"/>
        </w:rPr>
        <w:t>s</w:t>
      </w:r>
      <w:r w:rsidRPr="00FD59DB">
        <w:rPr>
          <w:b w:val="0"/>
        </w:rPr>
        <w:t xml:space="preserve">. </w:t>
      </w:r>
      <w:r w:rsidR="003D37CA">
        <w:rPr>
          <w:b w:val="0"/>
        </w:rPr>
        <w:t>T</w:t>
      </w:r>
      <w:r>
        <w:rPr>
          <w:b w:val="0"/>
        </w:rPr>
        <w:t>he T/C/O</w:t>
      </w:r>
      <w:r w:rsidR="003D37CA">
        <w:rPr>
          <w:b w:val="0"/>
        </w:rPr>
        <w:t xml:space="preserve"> definition was assigned f</w:t>
      </w:r>
      <w:r w:rsidR="000711A1">
        <w:rPr>
          <w:b w:val="0"/>
        </w:rPr>
        <w:t>or each research question</w:t>
      </w:r>
      <w:r>
        <w:rPr>
          <w:b w:val="0"/>
        </w:rPr>
        <w:t xml:space="preserve"> in order to determine if the topic is addressable using OHDSI data and tools. </w:t>
      </w:r>
      <w:r w:rsidR="007D4390">
        <w:rPr>
          <w:b w:val="0"/>
        </w:rPr>
        <w:t>Use of t</w:t>
      </w:r>
      <w:r w:rsidR="00FF5F17">
        <w:rPr>
          <w:b w:val="0"/>
        </w:rPr>
        <w:t>he</w:t>
      </w:r>
      <w:r w:rsidR="007D4390">
        <w:rPr>
          <w:b w:val="0"/>
        </w:rPr>
        <w:t xml:space="preserve"> OHDSI platform </w:t>
      </w:r>
      <w:r w:rsidR="00FF5F17">
        <w:rPr>
          <w:b w:val="0"/>
        </w:rPr>
        <w:t>will</w:t>
      </w:r>
      <w:r w:rsidR="007D4390">
        <w:rPr>
          <w:b w:val="0"/>
        </w:rPr>
        <w:t xml:space="preserve"> increase efficiency, use </w:t>
      </w:r>
      <w:r w:rsidR="00D41F01">
        <w:rPr>
          <w:b w:val="0"/>
        </w:rPr>
        <w:t xml:space="preserve">of </w:t>
      </w:r>
      <w:r w:rsidR="00FF5F17">
        <w:rPr>
          <w:b w:val="0"/>
        </w:rPr>
        <w:t xml:space="preserve">multinational </w:t>
      </w:r>
      <w:r w:rsidR="007D4390">
        <w:rPr>
          <w:b w:val="0"/>
        </w:rPr>
        <w:t>data, and lend meaningful insight into</w:t>
      </w:r>
      <w:r w:rsidR="00FF5F17">
        <w:rPr>
          <w:b w:val="0"/>
        </w:rPr>
        <w:t xml:space="preserve"> </w:t>
      </w:r>
      <w:r w:rsidR="007D4390">
        <w:rPr>
          <w:b w:val="0"/>
        </w:rPr>
        <w:t xml:space="preserve">the 35 </w:t>
      </w:r>
      <w:r w:rsidR="00D41F01">
        <w:rPr>
          <w:b w:val="0"/>
        </w:rPr>
        <w:t xml:space="preserve">amenable </w:t>
      </w:r>
      <w:r w:rsidR="00FF5F17">
        <w:rPr>
          <w:b w:val="0"/>
        </w:rPr>
        <w:t xml:space="preserve">CER studies. </w:t>
      </w:r>
      <w:r w:rsidR="007D4390">
        <w:rPr>
          <w:b w:val="0"/>
        </w:rPr>
        <w:t xml:space="preserve">We encourage use of the OHDSI network to address the 35 CER studies identified among the </w:t>
      </w:r>
      <w:r w:rsidR="00075F56">
        <w:rPr>
          <w:b w:val="0"/>
        </w:rPr>
        <w:t>NAM</w:t>
      </w:r>
      <w:r w:rsidR="007D4390">
        <w:rPr>
          <w:b w:val="0"/>
        </w:rPr>
        <w:t xml:space="preserve"> CER research priorities. </w:t>
      </w:r>
      <w:r w:rsidR="00FF5F17">
        <w:rPr>
          <w:b w:val="0"/>
        </w:rPr>
        <w:t xml:space="preserve">  </w:t>
      </w:r>
    </w:p>
    <w:p w14:paraId="79E83216" w14:textId="77777777" w:rsidR="0021065B" w:rsidRDefault="0021065B" w:rsidP="00940944">
      <w:pPr>
        <w:pStyle w:val="AMIAHeading"/>
      </w:pPr>
    </w:p>
    <w:p w14:paraId="35B50978" w14:textId="286CC9FF" w:rsidR="00781CE1" w:rsidRDefault="00FD59DB" w:rsidP="00FD59DB">
      <w:pPr>
        <w:pStyle w:val="AMIABodyText"/>
        <w:jc w:val="center"/>
        <w:rPr>
          <w:b/>
        </w:rPr>
      </w:pPr>
      <w:r>
        <w:rPr>
          <w:noProof/>
        </w:rPr>
        <w:drawing>
          <wp:inline distT="0" distB="0" distL="0" distR="0" wp14:anchorId="708E0630" wp14:editId="268B5E0F">
            <wp:extent cx="4629150" cy="210502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1E60F71" w14:textId="569F915B" w:rsidR="00781CE1" w:rsidRDefault="000876BD" w:rsidP="00940944">
      <w:pPr>
        <w:pStyle w:val="AMIABodyText"/>
      </w:pPr>
      <w:proofErr w:type="gramStart"/>
      <w:r>
        <w:rPr>
          <w:b/>
        </w:rPr>
        <w:t>Figure 1.</w:t>
      </w:r>
      <w:proofErr w:type="gramEnd"/>
      <w:r>
        <w:rPr>
          <w:b/>
        </w:rPr>
        <w:t xml:space="preserve"> </w:t>
      </w:r>
      <w:r w:rsidR="00FD59DB">
        <w:t xml:space="preserve">Research Areas of CER Studies Addressable using the OHDSI </w:t>
      </w:r>
      <w:r w:rsidR="000B6860">
        <w:t>Platform</w:t>
      </w:r>
      <w:bookmarkStart w:id="0" w:name="_GoBack"/>
      <w:bookmarkEnd w:id="0"/>
    </w:p>
    <w:tbl>
      <w:tblPr>
        <w:tblStyle w:val="TableClassic1"/>
        <w:tblW w:w="10638" w:type="dxa"/>
        <w:jc w:val="center"/>
        <w:tblLook w:val="04A0" w:firstRow="1" w:lastRow="0" w:firstColumn="1" w:lastColumn="0" w:noHBand="0" w:noVBand="1"/>
      </w:tblPr>
      <w:tblGrid>
        <w:gridCol w:w="8208"/>
        <w:gridCol w:w="1170"/>
        <w:gridCol w:w="1260"/>
      </w:tblGrid>
      <w:tr w:rsidR="00075F56" w:rsidRPr="00AA62C2" w14:paraId="1171958F" w14:textId="77777777" w:rsidTr="00075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8" w:type="dxa"/>
            <w:tcBorders>
              <w:top w:val="single" w:sz="6" w:space="0" w:color="000000"/>
              <w:left w:val="single" w:sz="6" w:space="0" w:color="000000"/>
            </w:tcBorders>
            <w:noWrap/>
            <w:hideMark/>
          </w:tcPr>
          <w:p w14:paraId="51006E28" w14:textId="6A8E3642" w:rsidR="00AA62C2" w:rsidRPr="00AA62C2" w:rsidRDefault="00AA62C2" w:rsidP="00AA62C2">
            <w:pPr>
              <w:rPr>
                <w:b/>
                <w:bCs/>
                <w:color w:val="000000"/>
                <w:sz w:val="16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Outcome</w:t>
            </w:r>
          </w:p>
        </w:tc>
        <w:tc>
          <w:tcPr>
            <w:tcW w:w="1170" w:type="dxa"/>
            <w:tcBorders>
              <w:top w:val="single" w:sz="8" w:space="0" w:color="000000"/>
              <w:right w:val="single" w:sz="8" w:space="0" w:color="000000"/>
            </w:tcBorders>
            <w:noWrap/>
            <w:hideMark/>
          </w:tcPr>
          <w:p w14:paraId="188ECDA0" w14:textId="77777777" w:rsidR="00AA62C2" w:rsidRPr="00AA62C2" w:rsidRDefault="00AA62C2" w:rsidP="00AA62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6"/>
                <w:szCs w:val="22"/>
              </w:rPr>
            </w:pPr>
            <w:r w:rsidRPr="00AA62C2">
              <w:rPr>
                <w:b/>
                <w:bCs/>
                <w:color w:val="000000"/>
                <w:sz w:val="16"/>
                <w:szCs w:val="22"/>
              </w:rPr>
              <w:t>Target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hideMark/>
          </w:tcPr>
          <w:p w14:paraId="3973257A" w14:textId="77777777" w:rsidR="00AA62C2" w:rsidRPr="00AA62C2" w:rsidRDefault="00AA62C2" w:rsidP="00AA62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6"/>
                <w:szCs w:val="22"/>
              </w:rPr>
            </w:pPr>
            <w:r w:rsidRPr="00AA62C2">
              <w:rPr>
                <w:b/>
                <w:bCs/>
                <w:color w:val="000000"/>
                <w:sz w:val="16"/>
                <w:szCs w:val="22"/>
              </w:rPr>
              <w:t>Comparator</w:t>
            </w:r>
          </w:p>
        </w:tc>
      </w:tr>
      <w:tr w:rsidR="00075F56" w:rsidRPr="00AA62C2" w14:paraId="35FDDDFB" w14:textId="77777777" w:rsidTr="00075F5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8" w:type="dxa"/>
            <w:tcBorders>
              <w:left w:val="single" w:sz="6" w:space="0" w:color="000000"/>
            </w:tcBorders>
            <w:noWrap/>
            <w:hideMark/>
          </w:tcPr>
          <w:p w14:paraId="4D83596D" w14:textId="77777777" w:rsidR="00AA62C2" w:rsidRPr="00AA62C2" w:rsidRDefault="00AA62C2" w:rsidP="00AA62C2">
            <w:pPr>
              <w:rPr>
                <w:color w:val="000000"/>
                <w:sz w:val="16"/>
                <w:szCs w:val="22"/>
              </w:rPr>
            </w:pPr>
            <w:r w:rsidRPr="00AA62C2">
              <w:rPr>
                <w:color w:val="000000"/>
                <w:sz w:val="16"/>
                <w:szCs w:val="22"/>
              </w:rPr>
              <w:t>Stroke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noWrap/>
            <w:hideMark/>
          </w:tcPr>
          <w:p w14:paraId="430A9991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P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noWrap/>
            <w:hideMark/>
          </w:tcPr>
          <w:p w14:paraId="08B229E5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D</w:t>
            </w:r>
          </w:p>
        </w:tc>
      </w:tr>
      <w:tr w:rsidR="00075F56" w:rsidRPr="00AA62C2" w14:paraId="6680A2BD" w14:textId="77777777" w:rsidTr="00075F5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8" w:type="dxa"/>
            <w:tcBorders>
              <w:left w:val="single" w:sz="6" w:space="0" w:color="000000"/>
            </w:tcBorders>
            <w:noWrap/>
            <w:hideMark/>
          </w:tcPr>
          <w:p w14:paraId="6739AAF7" w14:textId="77777777" w:rsidR="00AA62C2" w:rsidRPr="00AA62C2" w:rsidRDefault="00AA62C2" w:rsidP="00AA62C2">
            <w:pPr>
              <w:rPr>
                <w:color w:val="000000"/>
                <w:sz w:val="16"/>
                <w:szCs w:val="22"/>
              </w:rPr>
            </w:pPr>
            <w:r w:rsidRPr="00AA62C2">
              <w:rPr>
                <w:color w:val="000000"/>
                <w:sz w:val="16"/>
                <w:szCs w:val="22"/>
              </w:rPr>
              <w:t>Morbidity, quality of life, and diagnosis of esophageal adenocarcinoma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noWrap/>
            <w:hideMark/>
          </w:tcPr>
          <w:p w14:paraId="2A60BC32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P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noWrap/>
            <w:hideMark/>
          </w:tcPr>
          <w:p w14:paraId="5C20844F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P</w:t>
            </w:r>
          </w:p>
        </w:tc>
      </w:tr>
      <w:tr w:rsidR="00075F56" w:rsidRPr="00AA62C2" w14:paraId="38BCD861" w14:textId="77777777" w:rsidTr="00075F5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8" w:type="dxa"/>
            <w:tcBorders>
              <w:left w:val="single" w:sz="6" w:space="0" w:color="000000"/>
            </w:tcBorders>
            <w:noWrap/>
            <w:hideMark/>
          </w:tcPr>
          <w:p w14:paraId="6FF016E8" w14:textId="77777777" w:rsidR="00AA62C2" w:rsidRPr="00AA62C2" w:rsidRDefault="00AA62C2" w:rsidP="00AA62C2">
            <w:pPr>
              <w:rPr>
                <w:color w:val="000000"/>
                <w:sz w:val="16"/>
                <w:szCs w:val="22"/>
              </w:rPr>
            </w:pPr>
            <w:r w:rsidRPr="00AA62C2">
              <w:rPr>
                <w:color w:val="000000"/>
                <w:sz w:val="16"/>
                <w:szCs w:val="22"/>
              </w:rPr>
              <w:t>Progression to rheumatoid and psoriatic arthritis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noWrap/>
            <w:hideMark/>
          </w:tcPr>
          <w:p w14:paraId="68ABB1D9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D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noWrap/>
            <w:hideMark/>
          </w:tcPr>
          <w:p w14:paraId="1DD2BD82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D</w:t>
            </w:r>
          </w:p>
        </w:tc>
      </w:tr>
      <w:tr w:rsidR="00075F56" w:rsidRPr="00AA62C2" w14:paraId="597166F8" w14:textId="77777777" w:rsidTr="00075F5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8" w:type="dxa"/>
            <w:tcBorders>
              <w:left w:val="single" w:sz="6" w:space="0" w:color="000000"/>
            </w:tcBorders>
            <w:noWrap/>
            <w:hideMark/>
          </w:tcPr>
          <w:p w14:paraId="3FC5C4E6" w14:textId="77777777" w:rsidR="00AA62C2" w:rsidRPr="00AA62C2" w:rsidRDefault="00AA62C2" w:rsidP="00AA62C2">
            <w:pPr>
              <w:rPr>
                <w:color w:val="000000"/>
                <w:sz w:val="16"/>
                <w:szCs w:val="22"/>
              </w:rPr>
            </w:pPr>
            <w:r w:rsidRPr="00AA62C2">
              <w:rPr>
                <w:color w:val="000000"/>
                <w:sz w:val="16"/>
                <w:szCs w:val="22"/>
              </w:rPr>
              <w:t>Survival, side effects, quality of life, and costs; complication rates, readmission rates, and rates of additional cancer therapy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noWrap/>
            <w:hideMark/>
          </w:tcPr>
          <w:p w14:paraId="211F8638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P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noWrap/>
            <w:hideMark/>
          </w:tcPr>
          <w:p w14:paraId="516CE3F1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P</w:t>
            </w:r>
          </w:p>
        </w:tc>
      </w:tr>
      <w:tr w:rsidR="00075F56" w:rsidRPr="00AA62C2" w14:paraId="17A660E3" w14:textId="77777777" w:rsidTr="00075F5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8" w:type="dxa"/>
            <w:tcBorders>
              <w:left w:val="single" w:sz="6" w:space="0" w:color="000000"/>
            </w:tcBorders>
            <w:noWrap/>
            <w:hideMark/>
          </w:tcPr>
          <w:p w14:paraId="6E8830CD" w14:textId="77777777" w:rsidR="00AA62C2" w:rsidRPr="00AA62C2" w:rsidRDefault="00AA62C2" w:rsidP="00AA62C2">
            <w:pPr>
              <w:rPr>
                <w:color w:val="000000"/>
                <w:sz w:val="16"/>
                <w:szCs w:val="22"/>
              </w:rPr>
            </w:pPr>
            <w:r w:rsidRPr="00AA62C2">
              <w:rPr>
                <w:color w:val="000000"/>
                <w:sz w:val="16"/>
                <w:szCs w:val="22"/>
              </w:rPr>
              <w:t xml:space="preserve">Cause of death, dementia with </w:t>
            </w:r>
            <w:proofErr w:type="spellStart"/>
            <w:r w:rsidRPr="00AA62C2">
              <w:rPr>
                <w:color w:val="000000"/>
                <w:sz w:val="16"/>
                <w:szCs w:val="22"/>
              </w:rPr>
              <w:t>Lewy</w:t>
            </w:r>
            <w:proofErr w:type="spellEnd"/>
            <w:r w:rsidRPr="00AA62C2">
              <w:rPr>
                <w:color w:val="000000"/>
                <w:sz w:val="16"/>
                <w:szCs w:val="22"/>
              </w:rPr>
              <w:t xml:space="preserve"> bodies, </w:t>
            </w:r>
            <w:proofErr w:type="spellStart"/>
            <w:r w:rsidRPr="00AA62C2">
              <w:rPr>
                <w:color w:val="000000"/>
                <w:sz w:val="16"/>
                <w:szCs w:val="22"/>
              </w:rPr>
              <w:t>frontotemporal</w:t>
            </w:r>
            <w:proofErr w:type="spellEnd"/>
            <w:r w:rsidRPr="00AA62C2">
              <w:rPr>
                <w:color w:val="000000"/>
                <w:sz w:val="16"/>
                <w:szCs w:val="22"/>
              </w:rPr>
              <w:t xml:space="preserve"> dementia, vascular dementia, primary progressive aphasia 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noWrap/>
            <w:hideMark/>
          </w:tcPr>
          <w:p w14:paraId="79C51A36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D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noWrap/>
            <w:hideMark/>
          </w:tcPr>
          <w:p w14:paraId="198B7F7B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D</w:t>
            </w:r>
          </w:p>
        </w:tc>
      </w:tr>
      <w:tr w:rsidR="00075F56" w:rsidRPr="00AA62C2" w14:paraId="7AFD8AB2" w14:textId="77777777" w:rsidTr="00075F5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8" w:type="dxa"/>
            <w:tcBorders>
              <w:left w:val="single" w:sz="6" w:space="0" w:color="000000"/>
            </w:tcBorders>
            <w:noWrap/>
            <w:hideMark/>
          </w:tcPr>
          <w:p w14:paraId="64DF97B7" w14:textId="77777777" w:rsidR="00AA62C2" w:rsidRPr="00AA62C2" w:rsidRDefault="00AA62C2" w:rsidP="00AA62C2">
            <w:pPr>
              <w:rPr>
                <w:color w:val="000000"/>
                <w:sz w:val="16"/>
                <w:szCs w:val="22"/>
              </w:rPr>
            </w:pPr>
            <w:r w:rsidRPr="00AA62C2">
              <w:rPr>
                <w:color w:val="000000"/>
                <w:sz w:val="16"/>
                <w:szCs w:val="22"/>
              </w:rPr>
              <w:t xml:space="preserve">Cause of death, dementia with </w:t>
            </w:r>
            <w:proofErr w:type="spellStart"/>
            <w:r w:rsidRPr="00AA62C2">
              <w:rPr>
                <w:color w:val="000000"/>
                <w:sz w:val="16"/>
                <w:szCs w:val="22"/>
              </w:rPr>
              <w:t>Lewy</w:t>
            </w:r>
            <w:proofErr w:type="spellEnd"/>
            <w:r w:rsidRPr="00AA62C2">
              <w:rPr>
                <w:color w:val="000000"/>
                <w:sz w:val="16"/>
                <w:szCs w:val="22"/>
              </w:rPr>
              <w:t xml:space="preserve"> bodies, </w:t>
            </w:r>
            <w:proofErr w:type="spellStart"/>
            <w:r w:rsidRPr="00AA62C2">
              <w:rPr>
                <w:color w:val="000000"/>
                <w:sz w:val="16"/>
                <w:szCs w:val="22"/>
              </w:rPr>
              <w:t>frontotemporal</w:t>
            </w:r>
            <w:proofErr w:type="spellEnd"/>
            <w:r w:rsidRPr="00AA62C2">
              <w:rPr>
                <w:color w:val="000000"/>
                <w:sz w:val="16"/>
                <w:szCs w:val="22"/>
              </w:rPr>
              <w:t xml:space="preserve"> dementia, vascular dementia, primary progressive aphasia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noWrap/>
            <w:hideMark/>
          </w:tcPr>
          <w:p w14:paraId="70CC2A9C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D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noWrap/>
            <w:hideMark/>
          </w:tcPr>
          <w:p w14:paraId="638B886C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D</w:t>
            </w:r>
          </w:p>
        </w:tc>
      </w:tr>
      <w:tr w:rsidR="00075F56" w:rsidRPr="00AA62C2" w14:paraId="507EDC47" w14:textId="77777777" w:rsidTr="00075F5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8" w:type="dxa"/>
            <w:tcBorders>
              <w:left w:val="single" w:sz="6" w:space="0" w:color="000000"/>
            </w:tcBorders>
            <w:noWrap/>
            <w:hideMark/>
          </w:tcPr>
          <w:p w14:paraId="6BBECB58" w14:textId="77777777" w:rsidR="00AA62C2" w:rsidRPr="00AA62C2" w:rsidRDefault="00AA62C2" w:rsidP="00AA62C2">
            <w:pPr>
              <w:rPr>
                <w:color w:val="000000"/>
                <w:sz w:val="16"/>
                <w:szCs w:val="22"/>
              </w:rPr>
            </w:pPr>
            <w:r w:rsidRPr="00AA62C2">
              <w:rPr>
                <w:color w:val="000000"/>
                <w:sz w:val="16"/>
                <w:szCs w:val="22"/>
              </w:rPr>
              <w:t xml:space="preserve">Diagnosis, staging and monitoring time to metastases 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noWrap/>
            <w:hideMark/>
          </w:tcPr>
          <w:p w14:paraId="118BD267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P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noWrap/>
            <w:hideMark/>
          </w:tcPr>
          <w:p w14:paraId="3C136E65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P</w:t>
            </w:r>
          </w:p>
        </w:tc>
      </w:tr>
      <w:tr w:rsidR="00075F56" w:rsidRPr="00AA62C2" w14:paraId="0FF32B37" w14:textId="77777777" w:rsidTr="00075F5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8" w:type="dxa"/>
            <w:tcBorders>
              <w:left w:val="single" w:sz="6" w:space="0" w:color="000000"/>
              <w:bottom w:val="single" w:sz="6" w:space="0" w:color="000000"/>
            </w:tcBorders>
            <w:noWrap/>
            <w:hideMark/>
          </w:tcPr>
          <w:p w14:paraId="2DD5637D" w14:textId="77777777" w:rsidR="00AA62C2" w:rsidRPr="00AA62C2" w:rsidRDefault="00AA62C2" w:rsidP="00AA62C2">
            <w:pPr>
              <w:rPr>
                <w:color w:val="000000"/>
                <w:sz w:val="16"/>
                <w:szCs w:val="22"/>
              </w:rPr>
            </w:pPr>
            <w:r w:rsidRPr="00AA62C2">
              <w:rPr>
                <w:color w:val="000000"/>
                <w:sz w:val="16"/>
                <w:szCs w:val="22"/>
              </w:rPr>
              <w:t>Breast cancer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8" w:space="0" w:color="000000"/>
            </w:tcBorders>
            <w:noWrap/>
            <w:hideMark/>
          </w:tcPr>
          <w:p w14:paraId="6E568820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D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noWrap/>
            <w:hideMark/>
          </w:tcPr>
          <w:p w14:paraId="08B12C0A" w14:textId="77777777" w:rsidR="00AA62C2" w:rsidRPr="00AA62C2" w:rsidRDefault="00AA62C2" w:rsidP="00AA6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AA62C2">
              <w:rPr>
                <w:sz w:val="16"/>
                <w:szCs w:val="22"/>
              </w:rPr>
              <w:t>D</w:t>
            </w:r>
          </w:p>
        </w:tc>
      </w:tr>
      <w:tr w:rsidR="00075F56" w:rsidRPr="00AA62C2" w14:paraId="36A9293E" w14:textId="77777777" w:rsidTr="00075F5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8" w:type="dxa"/>
            <w:gridSpan w:val="3"/>
            <w:tcBorders>
              <w:top w:val="single" w:sz="6" w:space="0" w:color="000000"/>
              <w:bottom w:val="nil"/>
              <w:right w:val="nil"/>
            </w:tcBorders>
            <w:noWrap/>
            <w:hideMark/>
          </w:tcPr>
          <w:p w14:paraId="1B4EBCAE" w14:textId="7464C8F1" w:rsidR="00075F56" w:rsidRPr="00AA62C2" w:rsidRDefault="00075F56" w:rsidP="000B686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AA62C2">
              <w:rPr>
                <w:color w:val="000000"/>
                <w:sz w:val="16"/>
                <w:szCs w:val="22"/>
              </w:rPr>
              <w:t xml:space="preserve">P = </w:t>
            </w:r>
            <w:r w:rsidR="000B6860">
              <w:rPr>
                <w:color w:val="000000"/>
                <w:sz w:val="16"/>
                <w:szCs w:val="22"/>
              </w:rPr>
              <w:t>Medical p</w:t>
            </w:r>
            <w:r w:rsidRPr="00AA62C2">
              <w:rPr>
                <w:color w:val="000000"/>
                <w:sz w:val="16"/>
                <w:szCs w:val="22"/>
              </w:rPr>
              <w:t xml:space="preserve">rocedure; D = Drug </w:t>
            </w:r>
            <w:r w:rsidR="000B6860">
              <w:rPr>
                <w:color w:val="000000"/>
                <w:sz w:val="16"/>
                <w:szCs w:val="22"/>
              </w:rPr>
              <w:t>t</w:t>
            </w:r>
            <w:r w:rsidRPr="00AA62C2">
              <w:rPr>
                <w:color w:val="000000"/>
                <w:sz w:val="16"/>
                <w:szCs w:val="22"/>
              </w:rPr>
              <w:t>reat</w:t>
            </w:r>
            <w:r w:rsidR="000B6860">
              <w:rPr>
                <w:color w:val="000000"/>
                <w:sz w:val="16"/>
                <w:szCs w:val="22"/>
              </w:rPr>
              <w:t>ment</w:t>
            </w:r>
          </w:p>
        </w:tc>
      </w:tr>
    </w:tbl>
    <w:p w14:paraId="7370D5D7" w14:textId="46D4391B" w:rsidR="00AA62C2" w:rsidRPr="00D41F01" w:rsidRDefault="00AA62C2" w:rsidP="00940944">
      <w:pPr>
        <w:pStyle w:val="AMIABodyText"/>
        <w:rPr>
          <w:b/>
        </w:rPr>
      </w:pPr>
      <w:proofErr w:type="gramStart"/>
      <w:r w:rsidRPr="00D41F01">
        <w:rPr>
          <w:b/>
        </w:rPr>
        <w:t>Table 1.</w:t>
      </w:r>
      <w:proofErr w:type="gramEnd"/>
      <w:r w:rsidRPr="00D41F01">
        <w:rPr>
          <w:b/>
        </w:rPr>
        <w:t xml:space="preserve"> </w:t>
      </w:r>
      <w:r w:rsidR="00075F56" w:rsidRPr="00D41F01">
        <w:t>Outcome, Target, and Comparator for 1</w:t>
      </w:r>
      <w:r w:rsidR="00075F56" w:rsidRPr="00D41F01">
        <w:rPr>
          <w:vertAlign w:val="superscript"/>
        </w:rPr>
        <w:t>st</w:t>
      </w:r>
      <w:r w:rsidR="00075F56" w:rsidRPr="00D41F01">
        <w:t xml:space="preserve"> Quartile of CER Topics Amenable to Study Using </w:t>
      </w:r>
      <w:r w:rsidR="000B6860">
        <w:t xml:space="preserve">the </w:t>
      </w:r>
      <w:r w:rsidR="00075F56" w:rsidRPr="00D41F01">
        <w:t xml:space="preserve">OHDSI </w:t>
      </w:r>
      <w:r w:rsidR="000B6860">
        <w:t>Platform</w:t>
      </w:r>
    </w:p>
    <w:p w14:paraId="2EFD75DC" w14:textId="79F22621" w:rsidR="00781CE1" w:rsidRDefault="00781CE1" w:rsidP="00940944">
      <w:pPr>
        <w:pStyle w:val="AMIABodyText"/>
      </w:pPr>
    </w:p>
    <w:p w14:paraId="7AF84F5A" w14:textId="77777777" w:rsidR="00781CE1" w:rsidRDefault="000876BD" w:rsidP="00940944">
      <w:pPr>
        <w:pStyle w:val="AMIAReferenceHeading"/>
      </w:pPr>
      <w:r>
        <w:t>References</w:t>
      </w:r>
    </w:p>
    <w:p w14:paraId="76AF4FCE" w14:textId="7942907F" w:rsidR="00C64954" w:rsidRDefault="00C64954" w:rsidP="00C64954">
      <w:pPr>
        <w:pStyle w:val="AMIAReference"/>
      </w:pPr>
      <w:r w:rsidRPr="00C64954">
        <w:rPr>
          <w:rFonts w:eastAsia="Malgun Gothic"/>
        </w:rPr>
        <w:t>http://www.nationalacademies.org/hmd/Reports/2009/ComparativeEffectivenessResearchPriorities.aspx</w:t>
      </w:r>
    </w:p>
    <w:p w14:paraId="6BDADDBB" w14:textId="77777777" w:rsidR="00C64954" w:rsidRDefault="00C64954" w:rsidP="00C64954">
      <w:pPr>
        <w:pStyle w:val="AMIAReference"/>
        <w:numPr>
          <w:ilvl w:val="0"/>
          <w:numId w:val="0"/>
        </w:numPr>
      </w:pPr>
    </w:p>
    <w:p w14:paraId="23093A3D" w14:textId="25900D30" w:rsidR="00781CE1" w:rsidRDefault="003622F0" w:rsidP="003622F0">
      <w:pPr>
        <w:pStyle w:val="AMIAReference"/>
      </w:pPr>
      <w:r>
        <w:t xml:space="preserve">Emanuel Z, Spiro T, </w:t>
      </w:r>
      <w:proofErr w:type="spellStart"/>
      <w:r>
        <w:t>Huelskoetter</w:t>
      </w:r>
      <w:proofErr w:type="spellEnd"/>
      <w:r>
        <w:t xml:space="preserve"> T. Re-evaluating the </w:t>
      </w:r>
      <w:r w:rsidR="000711A1">
        <w:t>p</w:t>
      </w:r>
      <w:r>
        <w:t>atient-</w:t>
      </w:r>
      <w:r w:rsidR="000711A1">
        <w:t>c</w:t>
      </w:r>
      <w:r>
        <w:t xml:space="preserve">entered </w:t>
      </w:r>
      <w:r w:rsidR="000711A1">
        <w:t>o</w:t>
      </w:r>
      <w:r>
        <w:t xml:space="preserve">utcomes </w:t>
      </w:r>
      <w:r w:rsidR="000711A1">
        <w:t>r</w:t>
      </w:r>
      <w:r>
        <w:t xml:space="preserve">esearch </w:t>
      </w:r>
      <w:r w:rsidR="000711A1">
        <w:t>i</w:t>
      </w:r>
      <w:r>
        <w:t xml:space="preserve">nstitute. </w:t>
      </w:r>
      <w:r w:rsidRPr="003622F0">
        <w:t>https://cdn.americanprogress.org/wp-content/uploads/2016/05/25103643/PCORI-brief1.pdf</w:t>
      </w:r>
      <w:r w:rsidR="000876BD">
        <w:t>.</w:t>
      </w:r>
    </w:p>
    <w:p w14:paraId="02DA5C99" w14:textId="77777777" w:rsidR="000876BD" w:rsidRDefault="000876BD" w:rsidP="00857029">
      <w:pPr>
        <w:jc w:val="both"/>
      </w:pPr>
    </w:p>
    <w:p w14:paraId="42371FA9" w14:textId="151256D1" w:rsidR="00FA0628" w:rsidRPr="00D41F01" w:rsidRDefault="00FA0628" w:rsidP="00FA0628">
      <w:pPr>
        <w:pStyle w:val="AMIAReference"/>
      </w:pPr>
      <w:r w:rsidRPr="006D74CB">
        <w:rPr>
          <w:rFonts w:eastAsia="Malgun Gothic"/>
        </w:rPr>
        <w:t>http://www.nationalacademies.org/hmd/Reports/2009/ComparativeEffectivenessResearchPriorities.aspx</w:t>
      </w:r>
    </w:p>
    <w:p w14:paraId="2B7E1BAB" w14:textId="77777777" w:rsidR="00D41F01" w:rsidRDefault="00D41F01" w:rsidP="00D41F01">
      <w:pPr>
        <w:pStyle w:val="AMIAReference"/>
        <w:numPr>
          <w:ilvl w:val="0"/>
          <w:numId w:val="0"/>
        </w:numPr>
        <w:ind w:left="360" w:hanging="360"/>
        <w:rPr>
          <w:rFonts w:eastAsia="Malgun Gothic"/>
        </w:rPr>
      </w:pPr>
    </w:p>
    <w:p w14:paraId="1FF8479D" w14:textId="77777777" w:rsidR="00D41F01" w:rsidRDefault="00D41F01" w:rsidP="00D41F01">
      <w:pPr>
        <w:pStyle w:val="AMIAReference"/>
        <w:numPr>
          <w:ilvl w:val="0"/>
          <w:numId w:val="0"/>
        </w:numPr>
        <w:ind w:left="360" w:hanging="360"/>
        <w:sectPr w:rsidR="00D41F01" w:rsidSect="00D41F01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272"/>
        </w:sectPr>
      </w:pPr>
    </w:p>
    <w:p w14:paraId="0E1F1D65" w14:textId="77777777" w:rsidR="000876BD" w:rsidRDefault="000876BD" w:rsidP="00857029">
      <w:pPr>
        <w:jc w:val="both"/>
      </w:pPr>
    </w:p>
    <w:sectPr w:rsidR="000876BD" w:rsidSect="00D41F01">
      <w:pgSz w:w="12240" w:h="15840" w:code="1"/>
      <w:pgMar w:top="1440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69360" w14:textId="77777777" w:rsidR="00FA5140" w:rsidRDefault="00FA5140">
      <w:r>
        <w:separator/>
      </w:r>
    </w:p>
  </w:endnote>
  <w:endnote w:type="continuationSeparator" w:id="0">
    <w:p w14:paraId="4BB52008" w14:textId="77777777" w:rsidR="00FA5140" w:rsidRDefault="00FA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0D8A3" w14:textId="77777777" w:rsidR="002B3C70" w:rsidRDefault="002B3C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13A5F5" w14:textId="77777777" w:rsidR="002B3C70" w:rsidRDefault="002B3C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0537F" w14:textId="77777777" w:rsidR="002B3C70" w:rsidRDefault="002B3C70">
    <w:pPr>
      <w:pStyle w:val="Footer"/>
      <w:framePr w:wrap="around" w:vAnchor="text" w:hAnchor="margin" w:xAlign="right" w:y="1"/>
      <w:rPr>
        <w:rStyle w:val="PageNumber"/>
      </w:rPr>
    </w:pPr>
  </w:p>
  <w:p w14:paraId="407FF2F2" w14:textId="77777777" w:rsidR="002B3C70" w:rsidRDefault="002B3C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954A2" w14:textId="77777777" w:rsidR="00FA5140" w:rsidRDefault="00FA5140">
      <w:r>
        <w:separator/>
      </w:r>
    </w:p>
  </w:footnote>
  <w:footnote w:type="continuationSeparator" w:id="0">
    <w:p w14:paraId="6550C6AB" w14:textId="77777777" w:rsidR="00FA5140" w:rsidRDefault="00FA5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7C8"/>
    <w:multiLevelType w:val="singleLevel"/>
    <w:tmpl w:val="B9C09148"/>
    <w:lvl w:ilvl="0">
      <w:start w:val="1"/>
      <w:numFmt w:val="decimal"/>
      <w:pStyle w:val="AMIAReferenc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81"/>
    <w:rsid w:val="00001FF6"/>
    <w:rsid w:val="00047E14"/>
    <w:rsid w:val="0005158D"/>
    <w:rsid w:val="00061121"/>
    <w:rsid w:val="000711A1"/>
    <w:rsid w:val="00075F56"/>
    <w:rsid w:val="000876BD"/>
    <w:rsid w:val="000B33B6"/>
    <w:rsid w:val="000B6860"/>
    <w:rsid w:val="000F41E2"/>
    <w:rsid w:val="00123B63"/>
    <w:rsid w:val="00152DBC"/>
    <w:rsid w:val="001A47CF"/>
    <w:rsid w:val="001D1567"/>
    <w:rsid w:val="001D1BCD"/>
    <w:rsid w:val="001D3422"/>
    <w:rsid w:val="001D5D81"/>
    <w:rsid w:val="0021065B"/>
    <w:rsid w:val="00212CA7"/>
    <w:rsid w:val="00244644"/>
    <w:rsid w:val="00247F5B"/>
    <w:rsid w:val="002B3C70"/>
    <w:rsid w:val="00305A9B"/>
    <w:rsid w:val="00322966"/>
    <w:rsid w:val="003256DE"/>
    <w:rsid w:val="00335B31"/>
    <w:rsid w:val="00345FDF"/>
    <w:rsid w:val="0035275E"/>
    <w:rsid w:val="003622F0"/>
    <w:rsid w:val="003A14D8"/>
    <w:rsid w:val="003B0234"/>
    <w:rsid w:val="003C0115"/>
    <w:rsid w:val="003C6BE4"/>
    <w:rsid w:val="003D19F4"/>
    <w:rsid w:val="003D37CA"/>
    <w:rsid w:val="003D5748"/>
    <w:rsid w:val="004019EA"/>
    <w:rsid w:val="00414BE4"/>
    <w:rsid w:val="004464BE"/>
    <w:rsid w:val="00447D9D"/>
    <w:rsid w:val="00477061"/>
    <w:rsid w:val="004C2334"/>
    <w:rsid w:val="004E42C5"/>
    <w:rsid w:val="00500620"/>
    <w:rsid w:val="00500BD7"/>
    <w:rsid w:val="0054530B"/>
    <w:rsid w:val="00556080"/>
    <w:rsid w:val="00562427"/>
    <w:rsid w:val="00562D9E"/>
    <w:rsid w:val="00567555"/>
    <w:rsid w:val="005749A7"/>
    <w:rsid w:val="00590340"/>
    <w:rsid w:val="005B0F09"/>
    <w:rsid w:val="005B34B9"/>
    <w:rsid w:val="005E290B"/>
    <w:rsid w:val="005E41AB"/>
    <w:rsid w:val="00600255"/>
    <w:rsid w:val="00636609"/>
    <w:rsid w:val="00651B1A"/>
    <w:rsid w:val="0069458E"/>
    <w:rsid w:val="00696DA5"/>
    <w:rsid w:val="006A0A8B"/>
    <w:rsid w:val="006A2950"/>
    <w:rsid w:val="006B29EA"/>
    <w:rsid w:val="006C79A8"/>
    <w:rsid w:val="006D0A2C"/>
    <w:rsid w:val="006D74CB"/>
    <w:rsid w:val="006E41ED"/>
    <w:rsid w:val="006F1D36"/>
    <w:rsid w:val="00726B30"/>
    <w:rsid w:val="00737F46"/>
    <w:rsid w:val="00741BE9"/>
    <w:rsid w:val="00742590"/>
    <w:rsid w:val="00744D65"/>
    <w:rsid w:val="00781694"/>
    <w:rsid w:val="00781CE1"/>
    <w:rsid w:val="00784598"/>
    <w:rsid w:val="007B0F22"/>
    <w:rsid w:val="007B4D7E"/>
    <w:rsid w:val="007C5BDF"/>
    <w:rsid w:val="007D4390"/>
    <w:rsid w:val="007D63B4"/>
    <w:rsid w:val="007E534A"/>
    <w:rsid w:val="008310C2"/>
    <w:rsid w:val="00842C12"/>
    <w:rsid w:val="00857029"/>
    <w:rsid w:val="00866949"/>
    <w:rsid w:val="008803D4"/>
    <w:rsid w:val="00883CF0"/>
    <w:rsid w:val="00885900"/>
    <w:rsid w:val="00887953"/>
    <w:rsid w:val="00895E92"/>
    <w:rsid w:val="008A2E55"/>
    <w:rsid w:val="008E6278"/>
    <w:rsid w:val="00907431"/>
    <w:rsid w:val="00911C9A"/>
    <w:rsid w:val="00924B71"/>
    <w:rsid w:val="00940944"/>
    <w:rsid w:val="00956D31"/>
    <w:rsid w:val="009610C9"/>
    <w:rsid w:val="0096371D"/>
    <w:rsid w:val="009953BE"/>
    <w:rsid w:val="00995750"/>
    <w:rsid w:val="009A127D"/>
    <w:rsid w:val="009A55F9"/>
    <w:rsid w:val="009A7C7F"/>
    <w:rsid w:val="009E1CE1"/>
    <w:rsid w:val="00A12050"/>
    <w:rsid w:val="00A30FF1"/>
    <w:rsid w:val="00A33F82"/>
    <w:rsid w:val="00A8510C"/>
    <w:rsid w:val="00A861D4"/>
    <w:rsid w:val="00AA62C2"/>
    <w:rsid w:val="00AE1D7D"/>
    <w:rsid w:val="00AF2A0A"/>
    <w:rsid w:val="00B15F26"/>
    <w:rsid w:val="00B52D0E"/>
    <w:rsid w:val="00B547B7"/>
    <w:rsid w:val="00B85C68"/>
    <w:rsid w:val="00BA0C70"/>
    <w:rsid w:val="00BA3C08"/>
    <w:rsid w:val="00BD30DA"/>
    <w:rsid w:val="00BE54EA"/>
    <w:rsid w:val="00C21653"/>
    <w:rsid w:val="00C25098"/>
    <w:rsid w:val="00C435D4"/>
    <w:rsid w:val="00C64954"/>
    <w:rsid w:val="00CA1D90"/>
    <w:rsid w:val="00CA1EF1"/>
    <w:rsid w:val="00CA52ED"/>
    <w:rsid w:val="00CD1CE4"/>
    <w:rsid w:val="00CD2D80"/>
    <w:rsid w:val="00D177A9"/>
    <w:rsid w:val="00D41F01"/>
    <w:rsid w:val="00D66589"/>
    <w:rsid w:val="00D72377"/>
    <w:rsid w:val="00DA4570"/>
    <w:rsid w:val="00DC026C"/>
    <w:rsid w:val="00DC4B18"/>
    <w:rsid w:val="00DC6BAB"/>
    <w:rsid w:val="00DD63B6"/>
    <w:rsid w:val="00DF5E64"/>
    <w:rsid w:val="00E06DEE"/>
    <w:rsid w:val="00E1053B"/>
    <w:rsid w:val="00E25401"/>
    <w:rsid w:val="00E40A62"/>
    <w:rsid w:val="00E54F0A"/>
    <w:rsid w:val="00E81D55"/>
    <w:rsid w:val="00EA3C75"/>
    <w:rsid w:val="00EB148A"/>
    <w:rsid w:val="00EC29D2"/>
    <w:rsid w:val="00EC774E"/>
    <w:rsid w:val="00F17F2E"/>
    <w:rsid w:val="00F45B3E"/>
    <w:rsid w:val="00F57E98"/>
    <w:rsid w:val="00F66156"/>
    <w:rsid w:val="00F85A97"/>
    <w:rsid w:val="00F919E4"/>
    <w:rsid w:val="00FA0628"/>
    <w:rsid w:val="00FA44F1"/>
    <w:rsid w:val="00FA5140"/>
    <w:rsid w:val="00FA5161"/>
    <w:rsid w:val="00FD59DB"/>
    <w:rsid w:val="00FD64C2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5B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422"/>
  </w:style>
  <w:style w:type="paragraph" w:styleId="Heading1">
    <w:name w:val="heading 1"/>
    <w:basedOn w:val="Normal"/>
    <w:next w:val="BodyText"/>
    <w:link w:val="Heading1Char"/>
    <w:uiPriority w:val="9"/>
    <w:qFormat/>
    <w:rsid w:val="001D3422"/>
    <w:pPr>
      <w:keepNext/>
      <w:keepLines/>
      <w:suppressAutoHyphens/>
      <w:spacing w:before="240" w:after="120"/>
      <w:jc w:val="center"/>
      <w:outlineLvl w:val="0"/>
    </w:pPr>
    <w:rPr>
      <w:b/>
      <w:spacing w:val="-3"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3422"/>
    <w:pPr>
      <w:keepNext/>
      <w:jc w:val="center"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1D3422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3B0"/>
    <w:rPr>
      <w:rFonts w:ascii="Cambria" w:eastAsia="Malgun Gothic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3B0"/>
    <w:rPr>
      <w:rFonts w:ascii="Cambria" w:eastAsia="Malgun Gothic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3B0"/>
    <w:rPr>
      <w:rFonts w:ascii="Calibri" w:eastAsia="Malgun Gothic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D1CE4"/>
    <w:pPr>
      <w:suppressAutoHyphens/>
      <w:spacing w:after="16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23B0"/>
  </w:style>
  <w:style w:type="paragraph" w:styleId="Date">
    <w:name w:val="Date"/>
    <w:basedOn w:val="BodyText"/>
    <w:link w:val="DateChar"/>
    <w:uiPriority w:val="99"/>
    <w:rsid w:val="001D3422"/>
    <w:pPr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rsid w:val="006323B0"/>
  </w:style>
  <w:style w:type="character" w:styleId="EndnoteReference">
    <w:name w:val="endnote reference"/>
    <w:basedOn w:val="DefaultParagraphFont"/>
    <w:uiPriority w:val="99"/>
    <w:semiHidden/>
    <w:rsid w:val="001D342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D3422"/>
    <w:pPr>
      <w:tabs>
        <w:tab w:val="left" w:pos="187"/>
      </w:tabs>
      <w:suppressAutoHyphens/>
      <w:spacing w:after="120" w:line="220" w:lineRule="exact"/>
      <w:ind w:left="187" w:hanging="187"/>
      <w:jc w:val="both"/>
    </w:pPr>
    <w:rPr>
      <w:spacing w:val="-3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23B0"/>
  </w:style>
  <w:style w:type="paragraph" w:customStyle="1" w:styleId="abstract">
    <w:name w:val="abstract"/>
    <w:basedOn w:val="BodyText"/>
    <w:rsid w:val="001D3422"/>
    <w:rPr>
      <w:i/>
    </w:rPr>
  </w:style>
  <w:style w:type="paragraph" w:customStyle="1" w:styleId="AMIABodyText">
    <w:name w:val="AMIA Body Text"/>
    <w:basedOn w:val="Normal"/>
    <w:rsid w:val="003D5748"/>
    <w:pPr>
      <w:suppressAutoHyphens/>
      <w:spacing w:after="120"/>
      <w:jc w:val="both"/>
    </w:pPr>
  </w:style>
  <w:style w:type="paragraph" w:styleId="BodyTextIndent">
    <w:name w:val="Body Text Indent"/>
    <w:basedOn w:val="Normal"/>
    <w:link w:val="BodyTextIndentChar"/>
    <w:uiPriority w:val="99"/>
    <w:rsid w:val="001D3422"/>
    <w:pPr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23B0"/>
  </w:style>
  <w:style w:type="paragraph" w:styleId="BodyTextIndent2">
    <w:name w:val="Body Text Indent 2"/>
    <w:basedOn w:val="Normal"/>
    <w:link w:val="BodyTextIndent2Char"/>
    <w:uiPriority w:val="99"/>
    <w:rsid w:val="001D3422"/>
    <w:pPr>
      <w:spacing w:line="480" w:lineRule="auto"/>
      <w:ind w:firstLine="720"/>
    </w:pPr>
    <w:rPr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23B0"/>
  </w:style>
  <w:style w:type="paragraph" w:styleId="BodyText3">
    <w:name w:val="Body Text 3"/>
    <w:basedOn w:val="Normal"/>
    <w:link w:val="BodyText3Char"/>
    <w:uiPriority w:val="99"/>
    <w:rsid w:val="001D3422"/>
    <w:rPr>
      <w:i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23B0"/>
    <w:rPr>
      <w:sz w:val="16"/>
      <w:szCs w:val="16"/>
    </w:rPr>
  </w:style>
  <w:style w:type="paragraph" w:styleId="List">
    <w:name w:val="List"/>
    <w:basedOn w:val="Normal"/>
    <w:uiPriority w:val="99"/>
    <w:rsid w:val="001D3422"/>
    <w:pPr>
      <w:ind w:left="360" w:hanging="360"/>
    </w:pPr>
  </w:style>
  <w:style w:type="paragraph" w:styleId="Footer">
    <w:name w:val="footer"/>
    <w:basedOn w:val="Normal"/>
    <w:link w:val="FooterChar"/>
    <w:uiPriority w:val="99"/>
    <w:rsid w:val="001D3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3B0"/>
  </w:style>
  <w:style w:type="character" w:styleId="PageNumber">
    <w:name w:val="page number"/>
    <w:basedOn w:val="DefaultParagraphFont"/>
    <w:uiPriority w:val="99"/>
    <w:rsid w:val="001D3422"/>
    <w:rPr>
      <w:rFonts w:cs="Times New Roman"/>
    </w:rPr>
  </w:style>
  <w:style w:type="paragraph" w:customStyle="1" w:styleId="AMIATitle">
    <w:name w:val="AMIA Title"/>
    <w:basedOn w:val="Normal"/>
    <w:next w:val="AMIAAuthors"/>
    <w:rsid w:val="003D5748"/>
    <w:pPr>
      <w:spacing w:after="280"/>
      <w:jc w:val="center"/>
    </w:pPr>
    <w:rPr>
      <w:b/>
      <w:sz w:val="28"/>
    </w:rPr>
  </w:style>
  <w:style w:type="paragraph" w:customStyle="1" w:styleId="AMIAAuthors">
    <w:name w:val="AMIA Authors"/>
    <w:basedOn w:val="Normal"/>
    <w:next w:val="AMIAAffiliations"/>
    <w:rsid w:val="00B547B7"/>
    <w:pPr>
      <w:jc w:val="center"/>
    </w:pPr>
    <w:rPr>
      <w:b/>
      <w:sz w:val="24"/>
    </w:rPr>
  </w:style>
  <w:style w:type="paragraph" w:customStyle="1" w:styleId="AMIAAffiliations">
    <w:name w:val="AMIA Affiliations"/>
    <w:basedOn w:val="Normal"/>
    <w:rsid w:val="00CD1CE4"/>
    <w:pPr>
      <w:spacing w:after="240"/>
      <w:jc w:val="center"/>
    </w:pPr>
    <w:rPr>
      <w:b/>
      <w:sz w:val="24"/>
    </w:rPr>
  </w:style>
  <w:style w:type="paragraph" w:customStyle="1" w:styleId="AMIAAbstract">
    <w:name w:val="AMIA Abstract"/>
    <w:basedOn w:val="Normal"/>
    <w:rsid w:val="00885900"/>
    <w:pPr>
      <w:spacing w:after="120"/>
      <w:jc w:val="both"/>
    </w:pPr>
    <w:rPr>
      <w:i/>
    </w:rPr>
  </w:style>
  <w:style w:type="paragraph" w:customStyle="1" w:styleId="AMIAHeading">
    <w:name w:val="AMIA Heading"/>
    <w:basedOn w:val="Normal"/>
    <w:rsid w:val="00BE54EA"/>
    <w:pPr>
      <w:keepNext/>
      <w:spacing w:before="120" w:after="120"/>
      <w:jc w:val="both"/>
      <w:outlineLvl w:val="0"/>
    </w:pPr>
    <w:rPr>
      <w:b/>
    </w:rPr>
  </w:style>
  <w:style w:type="paragraph" w:customStyle="1" w:styleId="AMIASuperscript">
    <w:name w:val="AMIA Superscript"/>
    <w:basedOn w:val="Normal"/>
    <w:link w:val="AMIASuperscriptChar"/>
    <w:rsid w:val="00DC4B18"/>
    <w:rPr>
      <w:sz w:val="16"/>
      <w:vertAlign w:val="superscript"/>
    </w:rPr>
  </w:style>
  <w:style w:type="paragraph" w:customStyle="1" w:styleId="AMIAAbstractHeading">
    <w:name w:val="AMIA Abstract Heading"/>
    <w:basedOn w:val="AMIAHeading"/>
    <w:rsid w:val="00BE54EA"/>
    <w:pPr>
      <w:spacing w:before="0"/>
    </w:pPr>
  </w:style>
  <w:style w:type="paragraph" w:customStyle="1" w:styleId="AMIAReferenceHeading">
    <w:name w:val="AMIA Reference Heading"/>
    <w:basedOn w:val="AMIAHeading"/>
    <w:rsid w:val="00885900"/>
    <w:pPr>
      <w:jc w:val="center"/>
    </w:pPr>
  </w:style>
  <w:style w:type="paragraph" w:customStyle="1" w:styleId="AMIAReference">
    <w:name w:val="AMIA Reference"/>
    <w:basedOn w:val="Normal"/>
    <w:rsid w:val="00726B30"/>
    <w:pPr>
      <w:numPr>
        <w:numId w:val="1"/>
      </w:numPr>
      <w:jc w:val="both"/>
    </w:pPr>
  </w:style>
  <w:style w:type="character" w:customStyle="1" w:styleId="AMIASuperscriptChar">
    <w:name w:val="AMIA Superscript Char"/>
    <w:basedOn w:val="DefaultParagraphFont"/>
    <w:link w:val="AMIASuperscript"/>
    <w:locked/>
    <w:rsid w:val="00590340"/>
    <w:rPr>
      <w:rFonts w:cs="Times New Roman"/>
      <w:sz w:val="16"/>
      <w:vertAlign w:val="superscript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8E62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3B0"/>
  </w:style>
  <w:style w:type="paragraph" w:styleId="BalloonText">
    <w:name w:val="Balloon Text"/>
    <w:basedOn w:val="Normal"/>
    <w:link w:val="BalloonTextChar"/>
    <w:rsid w:val="006A2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9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17F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F2E"/>
  </w:style>
  <w:style w:type="character" w:customStyle="1" w:styleId="CommentTextChar">
    <w:name w:val="Comment Text Char"/>
    <w:basedOn w:val="DefaultParagraphFont"/>
    <w:link w:val="CommentText"/>
    <w:rsid w:val="00F17F2E"/>
  </w:style>
  <w:style w:type="paragraph" w:styleId="CommentSubject">
    <w:name w:val="annotation subject"/>
    <w:basedOn w:val="CommentText"/>
    <w:next w:val="CommentText"/>
    <w:link w:val="CommentSubjectChar"/>
    <w:rsid w:val="00F17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F2E"/>
    <w:rPr>
      <w:b/>
      <w:bCs/>
    </w:rPr>
  </w:style>
  <w:style w:type="table" w:styleId="TableGrid">
    <w:name w:val="Table Grid"/>
    <w:basedOn w:val="TableNormal"/>
    <w:rsid w:val="0047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57E98"/>
  </w:style>
  <w:style w:type="character" w:styleId="Hyperlink">
    <w:name w:val="Hyperlink"/>
    <w:basedOn w:val="DefaultParagraphFont"/>
    <w:uiPriority w:val="99"/>
    <w:unhideWhenUsed/>
    <w:rsid w:val="00FA062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A062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rsid w:val="00FA0628"/>
    <w:rPr>
      <w:color w:val="800080" w:themeColor="followedHyperlink"/>
      <w:u w:val="single"/>
    </w:rPr>
  </w:style>
  <w:style w:type="table" w:styleId="LightShading-Accent5">
    <w:name w:val="Light Shading Accent 5"/>
    <w:basedOn w:val="TableNormal"/>
    <w:uiPriority w:val="60"/>
    <w:rsid w:val="00075F5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Classic1">
    <w:name w:val="Table Classic 1"/>
    <w:basedOn w:val="TableNormal"/>
    <w:rsid w:val="00075F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422"/>
  </w:style>
  <w:style w:type="paragraph" w:styleId="Heading1">
    <w:name w:val="heading 1"/>
    <w:basedOn w:val="Normal"/>
    <w:next w:val="BodyText"/>
    <w:link w:val="Heading1Char"/>
    <w:uiPriority w:val="9"/>
    <w:qFormat/>
    <w:rsid w:val="001D3422"/>
    <w:pPr>
      <w:keepNext/>
      <w:keepLines/>
      <w:suppressAutoHyphens/>
      <w:spacing w:before="240" w:after="120"/>
      <w:jc w:val="center"/>
      <w:outlineLvl w:val="0"/>
    </w:pPr>
    <w:rPr>
      <w:b/>
      <w:spacing w:val="-3"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3422"/>
    <w:pPr>
      <w:keepNext/>
      <w:jc w:val="center"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1D3422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3B0"/>
    <w:rPr>
      <w:rFonts w:ascii="Cambria" w:eastAsia="Malgun Gothic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3B0"/>
    <w:rPr>
      <w:rFonts w:ascii="Cambria" w:eastAsia="Malgun Gothic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3B0"/>
    <w:rPr>
      <w:rFonts w:ascii="Calibri" w:eastAsia="Malgun Gothic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D1CE4"/>
    <w:pPr>
      <w:suppressAutoHyphens/>
      <w:spacing w:after="16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23B0"/>
  </w:style>
  <w:style w:type="paragraph" w:styleId="Date">
    <w:name w:val="Date"/>
    <w:basedOn w:val="BodyText"/>
    <w:link w:val="DateChar"/>
    <w:uiPriority w:val="99"/>
    <w:rsid w:val="001D3422"/>
    <w:pPr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rsid w:val="006323B0"/>
  </w:style>
  <w:style w:type="character" w:styleId="EndnoteReference">
    <w:name w:val="endnote reference"/>
    <w:basedOn w:val="DefaultParagraphFont"/>
    <w:uiPriority w:val="99"/>
    <w:semiHidden/>
    <w:rsid w:val="001D342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D3422"/>
    <w:pPr>
      <w:tabs>
        <w:tab w:val="left" w:pos="187"/>
      </w:tabs>
      <w:suppressAutoHyphens/>
      <w:spacing w:after="120" w:line="220" w:lineRule="exact"/>
      <w:ind w:left="187" w:hanging="187"/>
      <w:jc w:val="both"/>
    </w:pPr>
    <w:rPr>
      <w:spacing w:val="-3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23B0"/>
  </w:style>
  <w:style w:type="paragraph" w:customStyle="1" w:styleId="abstract">
    <w:name w:val="abstract"/>
    <w:basedOn w:val="BodyText"/>
    <w:rsid w:val="001D3422"/>
    <w:rPr>
      <w:i/>
    </w:rPr>
  </w:style>
  <w:style w:type="paragraph" w:customStyle="1" w:styleId="AMIABodyText">
    <w:name w:val="AMIA Body Text"/>
    <w:basedOn w:val="Normal"/>
    <w:rsid w:val="003D5748"/>
    <w:pPr>
      <w:suppressAutoHyphens/>
      <w:spacing w:after="120"/>
      <w:jc w:val="both"/>
    </w:pPr>
  </w:style>
  <w:style w:type="paragraph" w:styleId="BodyTextIndent">
    <w:name w:val="Body Text Indent"/>
    <w:basedOn w:val="Normal"/>
    <w:link w:val="BodyTextIndentChar"/>
    <w:uiPriority w:val="99"/>
    <w:rsid w:val="001D3422"/>
    <w:pPr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23B0"/>
  </w:style>
  <w:style w:type="paragraph" w:styleId="BodyTextIndent2">
    <w:name w:val="Body Text Indent 2"/>
    <w:basedOn w:val="Normal"/>
    <w:link w:val="BodyTextIndent2Char"/>
    <w:uiPriority w:val="99"/>
    <w:rsid w:val="001D3422"/>
    <w:pPr>
      <w:spacing w:line="480" w:lineRule="auto"/>
      <w:ind w:firstLine="720"/>
    </w:pPr>
    <w:rPr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23B0"/>
  </w:style>
  <w:style w:type="paragraph" w:styleId="BodyText3">
    <w:name w:val="Body Text 3"/>
    <w:basedOn w:val="Normal"/>
    <w:link w:val="BodyText3Char"/>
    <w:uiPriority w:val="99"/>
    <w:rsid w:val="001D3422"/>
    <w:rPr>
      <w:i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23B0"/>
    <w:rPr>
      <w:sz w:val="16"/>
      <w:szCs w:val="16"/>
    </w:rPr>
  </w:style>
  <w:style w:type="paragraph" w:styleId="List">
    <w:name w:val="List"/>
    <w:basedOn w:val="Normal"/>
    <w:uiPriority w:val="99"/>
    <w:rsid w:val="001D3422"/>
    <w:pPr>
      <w:ind w:left="360" w:hanging="360"/>
    </w:pPr>
  </w:style>
  <w:style w:type="paragraph" w:styleId="Footer">
    <w:name w:val="footer"/>
    <w:basedOn w:val="Normal"/>
    <w:link w:val="FooterChar"/>
    <w:uiPriority w:val="99"/>
    <w:rsid w:val="001D3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3B0"/>
  </w:style>
  <w:style w:type="character" w:styleId="PageNumber">
    <w:name w:val="page number"/>
    <w:basedOn w:val="DefaultParagraphFont"/>
    <w:uiPriority w:val="99"/>
    <w:rsid w:val="001D3422"/>
    <w:rPr>
      <w:rFonts w:cs="Times New Roman"/>
    </w:rPr>
  </w:style>
  <w:style w:type="paragraph" w:customStyle="1" w:styleId="AMIATitle">
    <w:name w:val="AMIA Title"/>
    <w:basedOn w:val="Normal"/>
    <w:next w:val="AMIAAuthors"/>
    <w:rsid w:val="003D5748"/>
    <w:pPr>
      <w:spacing w:after="280"/>
      <w:jc w:val="center"/>
    </w:pPr>
    <w:rPr>
      <w:b/>
      <w:sz w:val="28"/>
    </w:rPr>
  </w:style>
  <w:style w:type="paragraph" w:customStyle="1" w:styleId="AMIAAuthors">
    <w:name w:val="AMIA Authors"/>
    <w:basedOn w:val="Normal"/>
    <w:next w:val="AMIAAffiliations"/>
    <w:rsid w:val="00B547B7"/>
    <w:pPr>
      <w:jc w:val="center"/>
    </w:pPr>
    <w:rPr>
      <w:b/>
      <w:sz w:val="24"/>
    </w:rPr>
  </w:style>
  <w:style w:type="paragraph" w:customStyle="1" w:styleId="AMIAAffiliations">
    <w:name w:val="AMIA Affiliations"/>
    <w:basedOn w:val="Normal"/>
    <w:rsid w:val="00CD1CE4"/>
    <w:pPr>
      <w:spacing w:after="240"/>
      <w:jc w:val="center"/>
    </w:pPr>
    <w:rPr>
      <w:b/>
      <w:sz w:val="24"/>
    </w:rPr>
  </w:style>
  <w:style w:type="paragraph" w:customStyle="1" w:styleId="AMIAAbstract">
    <w:name w:val="AMIA Abstract"/>
    <w:basedOn w:val="Normal"/>
    <w:rsid w:val="00885900"/>
    <w:pPr>
      <w:spacing w:after="120"/>
      <w:jc w:val="both"/>
    </w:pPr>
    <w:rPr>
      <w:i/>
    </w:rPr>
  </w:style>
  <w:style w:type="paragraph" w:customStyle="1" w:styleId="AMIAHeading">
    <w:name w:val="AMIA Heading"/>
    <w:basedOn w:val="Normal"/>
    <w:rsid w:val="00BE54EA"/>
    <w:pPr>
      <w:keepNext/>
      <w:spacing w:before="120" w:after="120"/>
      <w:jc w:val="both"/>
      <w:outlineLvl w:val="0"/>
    </w:pPr>
    <w:rPr>
      <w:b/>
    </w:rPr>
  </w:style>
  <w:style w:type="paragraph" w:customStyle="1" w:styleId="AMIASuperscript">
    <w:name w:val="AMIA Superscript"/>
    <w:basedOn w:val="Normal"/>
    <w:link w:val="AMIASuperscriptChar"/>
    <w:rsid w:val="00DC4B18"/>
    <w:rPr>
      <w:sz w:val="16"/>
      <w:vertAlign w:val="superscript"/>
    </w:rPr>
  </w:style>
  <w:style w:type="paragraph" w:customStyle="1" w:styleId="AMIAAbstractHeading">
    <w:name w:val="AMIA Abstract Heading"/>
    <w:basedOn w:val="AMIAHeading"/>
    <w:rsid w:val="00BE54EA"/>
    <w:pPr>
      <w:spacing w:before="0"/>
    </w:pPr>
  </w:style>
  <w:style w:type="paragraph" w:customStyle="1" w:styleId="AMIAReferenceHeading">
    <w:name w:val="AMIA Reference Heading"/>
    <w:basedOn w:val="AMIAHeading"/>
    <w:rsid w:val="00885900"/>
    <w:pPr>
      <w:jc w:val="center"/>
    </w:pPr>
  </w:style>
  <w:style w:type="paragraph" w:customStyle="1" w:styleId="AMIAReference">
    <w:name w:val="AMIA Reference"/>
    <w:basedOn w:val="Normal"/>
    <w:rsid w:val="00726B30"/>
    <w:pPr>
      <w:numPr>
        <w:numId w:val="1"/>
      </w:numPr>
      <w:jc w:val="both"/>
    </w:pPr>
  </w:style>
  <w:style w:type="character" w:customStyle="1" w:styleId="AMIASuperscriptChar">
    <w:name w:val="AMIA Superscript Char"/>
    <w:basedOn w:val="DefaultParagraphFont"/>
    <w:link w:val="AMIASuperscript"/>
    <w:locked/>
    <w:rsid w:val="00590340"/>
    <w:rPr>
      <w:rFonts w:cs="Times New Roman"/>
      <w:sz w:val="16"/>
      <w:vertAlign w:val="superscript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8E62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3B0"/>
  </w:style>
  <w:style w:type="paragraph" w:styleId="BalloonText">
    <w:name w:val="Balloon Text"/>
    <w:basedOn w:val="Normal"/>
    <w:link w:val="BalloonTextChar"/>
    <w:rsid w:val="006A2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9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17F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F2E"/>
  </w:style>
  <w:style w:type="character" w:customStyle="1" w:styleId="CommentTextChar">
    <w:name w:val="Comment Text Char"/>
    <w:basedOn w:val="DefaultParagraphFont"/>
    <w:link w:val="CommentText"/>
    <w:rsid w:val="00F17F2E"/>
  </w:style>
  <w:style w:type="paragraph" w:styleId="CommentSubject">
    <w:name w:val="annotation subject"/>
    <w:basedOn w:val="CommentText"/>
    <w:next w:val="CommentText"/>
    <w:link w:val="CommentSubjectChar"/>
    <w:rsid w:val="00F17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F2E"/>
    <w:rPr>
      <w:b/>
      <w:bCs/>
    </w:rPr>
  </w:style>
  <w:style w:type="table" w:styleId="TableGrid">
    <w:name w:val="Table Grid"/>
    <w:basedOn w:val="TableNormal"/>
    <w:rsid w:val="0047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57E98"/>
  </w:style>
  <w:style w:type="character" w:styleId="Hyperlink">
    <w:name w:val="Hyperlink"/>
    <w:basedOn w:val="DefaultParagraphFont"/>
    <w:uiPriority w:val="99"/>
    <w:unhideWhenUsed/>
    <w:rsid w:val="00FA062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A062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rsid w:val="00FA0628"/>
    <w:rPr>
      <w:color w:val="800080" w:themeColor="followedHyperlink"/>
      <w:u w:val="single"/>
    </w:rPr>
  </w:style>
  <w:style w:type="table" w:styleId="LightShading-Accent5">
    <w:name w:val="Light Shading Accent 5"/>
    <w:basedOn w:val="TableNormal"/>
    <w:uiPriority w:val="60"/>
    <w:rsid w:val="00075F5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Classic1">
    <w:name w:val="Table Classic 1"/>
    <w:basedOn w:val="TableNormal"/>
    <w:rsid w:val="00075F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academies.org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ff\Local%20Settings\Temporary%20Internet%20Files\OLKDA\AMIA%20Submission%20template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hardi10\Documents\OHDSI%20Conference\Priority%20List%20Interactive%20file%208-13-09_HardinEdits_0614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487467191601054"/>
          <c:y val="4.4398269660736844E-2"/>
          <c:w val="0.44526443569553803"/>
          <c:h val="0.8402702702702702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Instructions!$R$10</c:f>
              <c:strCache>
                <c:ptCount val="1"/>
                <c:pt idx="0">
                  <c:v>Number of Studies</c:v>
                </c:pt>
              </c:strCache>
            </c:strRef>
          </c:tx>
          <c:invertIfNegative val="0"/>
          <c:cat>
            <c:strRef>
              <c:f>Instructions!$Q$11:$Q$25</c:f>
              <c:strCache>
                <c:ptCount val="15"/>
                <c:pt idx="0">
                  <c:v>Alcoholism, Drug Dependency, and Overdose</c:v>
                </c:pt>
                <c:pt idx="1">
                  <c:v>Endocrinology and Metabolism Disorders</c:v>
                </c:pt>
                <c:pt idx="2">
                  <c:v>Gastrointestinal Disorders</c:v>
                </c:pt>
                <c:pt idx="3">
                  <c:v>Immune System, Connective Tissue, and Joint Disorders</c:v>
                </c:pt>
                <c:pt idx="4">
                  <c:v>Musculoskeletal Disorders</c:v>
                </c:pt>
                <c:pt idx="5">
                  <c:v>Nutrition (including Obesity)</c:v>
                </c:pt>
                <c:pt idx="6">
                  <c:v>Skin Disorders</c:v>
                </c:pt>
                <c:pt idx="7">
                  <c:v>Women's Health</c:v>
                </c:pt>
                <c:pt idx="8">
                  <c:v>Eyes, Ears, Nose, and Throat Disorders</c:v>
                </c:pt>
                <c:pt idx="9">
                  <c:v>Health Care Delivery Systems</c:v>
                </c:pt>
                <c:pt idx="10">
                  <c:v>Kidney and Urinary Tract Disorders</c:v>
                </c:pt>
                <c:pt idx="11">
                  <c:v>Psychiatric Disorders</c:v>
                </c:pt>
                <c:pt idx="12">
                  <c:v>Neurologic Disorders</c:v>
                </c:pt>
                <c:pt idx="13">
                  <c:v>Oncology and Hematology</c:v>
                </c:pt>
                <c:pt idx="14">
                  <c:v>Cardiovascular and Peripheral Vascular Disease</c:v>
                </c:pt>
              </c:strCache>
            </c:strRef>
          </c:cat>
          <c:val>
            <c:numRef>
              <c:f>Instructions!$R$11:$R$25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5</c:v>
                </c:pt>
                <c:pt idx="13">
                  <c:v>5</c:v>
                </c:pt>
                <c:pt idx="14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361728"/>
        <c:axId val="78363264"/>
      </c:barChart>
      <c:catAx>
        <c:axId val="7836172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78363264"/>
        <c:crosses val="autoZero"/>
        <c:auto val="1"/>
        <c:lblAlgn val="ctr"/>
        <c:lblOffset val="100"/>
        <c:noMultiLvlLbl val="0"/>
      </c:catAx>
      <c:valAx>
        <c:axId val="783632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78361728"/>
        <c:crosses val="autoZero"/>
        <c:crossBetween val="between"/>
        <c:majorUnit val="2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AMIA Submission template</Template>
  <TotalTime>60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Title of the Article</vt:lpstr>
    </vt:vector>
  </TitlesOfParts>
  <Company>Partners HealthCare System, Inc.</Company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of the Article</dc:title>
  <dc:creator>Stang, Paul [JRDUS]</dc:creator>
  <cp:lastModifiedBy>Hardin, Jill [JRDUS]</cp:lastModifiedBy>
  <cp:revision>6</cp:revision>
  <cp:lastPrinted>2016-06-15T16:17:00Z</cp:lastPrinted>
  <dcterms:created xsi:type="dcterms:W3CDTF">2016-06-21T15:37:00Z</dcterms:created>
  <dcterms:modified xsi:type="dcterms:W3CDTF">2016-06-21T16:45:00Z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