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6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4"/>
        <w:gridCol w:w="4284"/>
      </w:tblGrid>
      <w:tr w:rsidR="00D32AF1" w:rsidTr="00137CB2">
        <w:trPr>
          <w:trHeight w:val="120"/>
          <w:jc w:val="center"/>
        </w:trPr>
        <w:tc>
          <w:tcPr>
            <w:tcW w:w="1764" w:type="dxa"/>
          </w:tcPr>
          <w:p w:rsidR="00D32AF1" w:rsidRDefault="00D32AF1" w:rsidP="00137CB2">
            <w:r>
              <w:t>Name:</w:t>
            </w:r>
          </w:p>
        </w:tc>
        <w:tc>
          <w:tcPr>
            <w:tcW w:w="4284" w:type="dxa"/>
          </w:tcPr>
          <w:p w:rsidR="00D32AF1" w:rsidRDefault="00D32AF1" w:rsidP="00137CB2">
            <w:r>
              <w:t>Aize Cao</w:t>
            </w:r>
          </w:p>
        </w:tc>
      </w:tr>
      <w:tr w:rsidR="00D32AF1" w:rsidTr="00137CB2">
        <w:trPr>
          <w:jc w:val="center"/>
        </w:trPr>
        <w:tc>
          <w:tcPr>
            <w:tcW w:w="1764" w:type="dxa"/>
          </w:tcPr>
          <w:p w:rsidR="00D32AF1" w:rsidRDefault="00D32AF1" w:rsidP="00137CB2">
            <w:r>
              <w:t>Affiliation:</w:t>
            </w:r>
          </w:p>
        </w:tc>
        <w:tc>
          <w:tcPr>
            <w:tcW w:w="4284" w:type="dxa"/>
          </w:tcPr>
          <w:p w:rsidR="00D32AF1" w:rsidRDefault="00D32AF1" w:rsidP="00137CB2">
            <w:r w:rsidRPr="006B5DB8">
              <w:t>Ten</w:t>
            </w:r>
            <w:r>
              <w:t>nessee Valley Healthcare System</w:t>
            </w:r>
          </w:p>
        </w:tc>
      </w:tr>
      <w:tr w:rsidR="00D32AF1" w:rsidTr="00137CB2">
        <w:trPr>
          <w:jc w:val="center"/>
        </w:trPr>
        <w:tc>
          <w:tcPr>
            <w:tcW w:w="1764" w:type="dxa"/>
          </w:tcPr>
          <w:p w:rsidR="00D32AF1" w:rsidRDefault="00D32AF1" w:rsidP="00137CB2">
            <w:r>
              <w:t>Email:</w:t>
            </w:r>
          </w:p>
        </w:tc>
        <w:tc>
          <w:tcPr>
            <w:tcW w:w="4284" w:type="dxa"/>
          </w:tcPr>
          <w:p w:rsidR="00D32AF1" w:rsidRDefault="00D32AF1" w:rsidP="00137CB2">
            <w:r>
              <w:t>Aize.Cao@vanderbilt.edu</w:t>
            </w:r>
          </w:p>
        </w:tc>
      </w:tr>
      <w:tr w:rsidR="00D32AF1" w:rsidTr="00137CB2">
        <w:trPr>
          <w:jc w:val="center"/>
        </w:trPr>
        <w:tc>
          <w:tcPr>
            <w:tcW w:w="1764" w:type="dxa"/>
          </w:tcPr>
          <w:p w:rsidR="00D32AF1" w:rsidRDefault="00D32AF1" w:rsidP="00137CB2">
            <w:r>
              <w:t xml:space="preserve">Presentation </w:t>
            </w:r>
          </w:p>
          <w:p w:rsidR="00D32AF1" w:rsidRDefault="00D32AF1" w:rsidP="00137CB2">
            <w:r>
              <w:t xml:space="preserve">type (s): </w:t>
            </w:r>
          </w:p>
        </w:tc>
        <w:tc>
          <w:tcPr>
            <w:tcW w:w="4284" w:type="dxa"/>
          </w:tcPr>
          <w:p w:rsidR="00D32AF1" w:rsidRDefault="00D32AF1" w:rsidP="00137CB2">
            <w:pPr>
              <w:rPr>
                <w:b/>
              </w:rPr>
            </w:pPr>
            <w:r>
              <w:t>Poster</w:t>
            </w:r>
          </w:p>
          <w:p w:rsidR="00D32AF1" w:rsidRDefault="00D32AF1" w:rsidP="00137CB2">
            <w:pPr>
              <w:jc w:val="center"/>
              <w:rPr>
                <w:b/>
              </w:rPr>
            </w:pPr>
          </w:p>
        </w:tc>
      </w:tr>
    </w:tbl>
    <w:p w:rsidR="00D32AF1" w:rsidRDefault="00D32AF1" w:rsidP="00D32AF1">
      <w:pPr>
        <w:spacing w:after="120"/>
        <w:rPr>
          <w:b/>
          <w:sz w:val="16"/>
          <w:szCs w:val="16"/>
        </w:rPr>
      </w:pPr>
    </w:p>
    <w:p w:rsidR="00E70DA9" w:rsidRDefault="002C5406">
      <w:pPr>
        <w:spacing w:after="280"/>
        <w:jc w:val="center"/>
        <w:rPr>
          <w:b/>
          <w:sz w:val="28"/>
          <w:szCs w:val="28"/>
        </w:rPr>
      </w:pPr>
      <w:r>
        <w:rPr>
          <w:b/>
          <w:sz w:val="28"/>
          <w:szCs w:val="28"/>
        </w:rPr>
        <w:t xml:space="preserve">Quality Assurance of Demographics Consistency between </w:t>
      </w:r>
      <w:r w:rsidR="00FC0F53">
        <w:rPr>
          <w:b/>
          <w:sz w:val="28"/>
          <w:szCs w:val="28"/>
        </w:rPr>
        <w:t>Veterans Affairs and</w:t>
      </w:r>
      <w:r>
        <w:rPr>
          <w:b/>
          <w:sz w:val="28"/>
          <w:szCs w:val="28"/>
        </w:rPr>
        <w:t xml:space="preserve"> Medicare Data</w:t>
      </w:r>
    </w:p>
    <w:p w:rsidR="00EB40E0" w:rsidRDefault="00D32AF1" w:rsidP="00B27B40">
      <w:pPr>
        <w:jc w:val="center"/>
        <w:rPr>
          <w:rFonts w:eastAsia="Calibri"/>
          <w:b/>
          <w:color w:val="auto"/>
          <w:sz w:val="22"/>
          <w:szCs w:val="22"/>
          <w:vertAlign w:val="superscript"/>
        </w:rPr>
      </w:pPr>
      <w:r w:rsidRPr="00B27B40">
        <w:rPr>
          <w:rFonts w:eastAsia="Calibri"/>
          <w:b/>
          <w:color w:val="auto"/>
          <w:sz w:val="22"/>
          <w:szCs w:val="22"/>
        </w:rPr>
        <w:t>Aize Cao</w:t>
      </w:r>
      <w:r w:rsidR="00EB40E0">
        <w:rPr>
          <w:rFonts w:eastAsia="Calibri"/>
          <w:b/>
          <w:color w:val="auto"/>
          <w:sz w:val="22"/>
          <w:szCs w:val="22"/>
        </w:rPr>
        <w:t xml:space="preserve">, </w:t>
      </w:r>
      <w:r w:rsidRPr="00B27B40">
        <w:rPr>
          <w:rFonts w:eastAsia="Calibri"/>
          <w:b/>
          <w:color w:val="auto"/>
          <w:sz w:val="22"/>
          <w:szCs w:val="22"/>
        </w:rPr>
        <w:t>PhD</w:t>
      </w:r>
      <w:r w:rsidR="00E94A2A">
        <w:rPr>
          <w:rFonts w:eastAsia="Calibri"/>
          <w:b/>
          <w:color w:val="auto"/>
          <w:sz w:val="22"/>
          <w:szCs w:val="22"/>
          <w:vertAlign w:val="superscript"/>
        </w:rPr>
        <w:t>1</w:t>
      </w:r>
      <w:proofErr w:type="gramStart"/>
      <w:r w:rsidR="00E94A2A">
        <w:rPr>
          <w:rFonts w:eastAsia="Calibri"/>
          <w:b/>
          <w:color w:val="auto"/>
          <w:sz w:val="22"/>
          <w:szCs w:val="22"/>
          <w:vertAlign w:val="superscript"/>
        </w:rPr>
        <w:t>,2</w:t>
      </w:r>
      <w:proofErr w:type="gramEnd"/>
      <w:r w:rsidR="000F5B3D" w:rsidRPr="00B27B40">
        <w:rPr>
          <w:rFonts w:eastAsia="Calibri"/>
          <w:b/>
          <w:color w:val="auto"/>
          <w:sz w:val="22"/>
          <w:szCs w:val="22"/>
        </w:rPr>
        <w:t xml:space="preserve">; </w:t>
      </w:r>
      <w:r w:rsidRPr="00B27B40">
        <w:rPr>
          <w:rFonts w:eastAsia="Calibri"/>
          <w:b/>
          <w:color w:val="auto"/>
          <w:sz w:val="22"/>
          <w:szCs w:val="22"/>
        </w:rPr>
        <w:t xml:space="preserve">Margaret </w:t>
      </w:r>
      <w:r w:rsidR="00267C2A">
        <w:rPr>
          <w:rFonts w:eastAsia="Calibri"/>
          <w:b/>
          <w:color w:val="auto"/>
          <w:sz w:val="22"/>
          <w:szCs w:val="22"/>
        </w:rPr>
        <w:t>Gonsoulin, Ph</w:t>
      </w:r>
      <w:r w:rsidRPr="00B27B40">
        <w:rPr>
          <w:rFonts w:eastAsia="Calibri"/>
          <w:b/>
          <w:color w:val="auto"/>
          <w:sz w:val="22"/>
          <w:szCs w:val="22"/>
        </w:rPr>
        <w:t>D</w:t>
      </w:r>
      <w:r w:rsidR="00B27B40" w:rsidRPr="00B27B40">
        <w:rPr>
          <w:rFonts w:eastAsia="Calibri"/>
          <w:b/>
          <w:color w:val="auto"/>
          <w:sz w:val="22"/>
          <w:szCs w:val="22"/>
          <w:vertAlign w:val="superscript"/>
        </w:rPr>
        <w:t>5</w:t>
      </w:r>
      <w:r w:rsidRPr="00B27B40">
        <w:rPr>
          <w:rFonts w:eastAsia="Calibri"/>
          <w:b/>
          <w:color w:val="auto"/>
          <w:sz w:val="22"/>
          <w:szCs w:val="22"/>
        </w:rPr>
        <w:t xml:space="preserve"> </w:t>
      </w:r>
      <w:r w:rsidR="000F5B3D" w:rsidRPr="00B27B40">
        <w:rPr>
          <w:rFonts w:eastAsia="Calibri"/>
          <w:b/>
          <w:color w:val="auto"/>
          <w:sz w:val="22"/>
          <w:szCs w:val="22"/>
        </w:rPr>
        <w:t xml:space="preserve">; </w:t>
      </w:r>
      <w:r w:rsidR="00B27B40" w:rsidRPr="00B27B40">
        <w:rPr>
          <w:rFonts w:eastAsia="Calibri"/>
          <w:b/>
          <w:color w:val="auto"/>
          <w:sz w:val="22"/>
          <w:szCs w:val="22"/>
        </w:rPr>
        <w:t xml:space="preserve">Kristin de </w:t>
      </w:r>
      <w:r w:rsidRPr="00B27B40">
        <w:rPr>
          <w:rFonts w:eastAsia="Calibri"/>
          <w:b/>
          <w:color w:val="auto"/>
          <w:sz w:val="22"/>
          <w:szCs w:val="22"/>
        </w:rPr>
        <w:t>Groot</w:t>
      </w:r>
      <w:r w:rsidR="00B27B40" w:rsidRPr="00B27B40">
        <w:rPr>
          <w:rFonts w:eastAsia="Calibri"/>
          <w:b/>
          <w:color w:val="auto"/>
          <w:sz w:val="22"/>
          <w:szCs w:val="22"/>
        </w:rPr>
        <w:t>, MPH</w:t>
      </w:r>
      <w:r w:rsidR="00B27B40" w:rsidRPr="00B27B40">
        <w:rPr>
          <w:rFonts w:eastAsia="Calibri"/>
          <w:b/>
          <w:color w:val="auto"/>
          <w:sz w:val="22"/>
          <w:szCs w:val="22"/>
          <w:vertAlign w:val="superscript"/>
        </w:rPr>
        <w:t>5</w:t>
      </w:r>
      <w:r w:rsidR="000F5B3D" w:rsidRPr="00B27B40">
        <w:rPr>
          <w:rFonts w:eastAsia="Calibri"/>
          <w:b/>
          <w:color w:val="auto"/>
          <w:sz w:val="22"/>
          <w:szCs w:val="22"/>
        </w:rPr>
        <w:t>;</w:t>
      </w:r>
      <w:r w:rsidRPr="00B27B40">
        <w:rPr>
          <w:rFonts w:eastAsia="Calibri"/>
          <w:b/>
          <w:color w:val="auto"/>
          <w:sz w:val="22"/>
          <w:szCs w:val="22"/>
        </w:rPr>
        <w:t xml:space="preserve"> </w:t>
      </w:r>
      <w:r w:rsidR="005A22D1">
        <w:rPr>
          <w:rFonts w:eastAsia="Calibri"/>
          <w:b/>
          <w:color w:val="auto"/>
          <w:sz w:val="22"/>
          <w:szCs w:val="22"/>
        </w:rPr>
        <w:t>Elizabeth</w:t>
      </w:r>
      <w:r w:rsidR="00F6349C">
        <w:rPr>
          <w:rFonts w:eastAsia="Calibri"/>
          <w:b/>
          <w:color w:val="auto"/>
          <w:sz w:val="22"/>
          <w:szCs w:val="22"/>
        </w:rPr>
        <w:t xml:space="preserve"> Hanchrow</w:t>
      </w:r>
      <w:r w:rsidR="00EB40E0">
        <w:rPr>
          <w:rFonts w:eastAsia="Calibri"/>
          <w:b/>
          <w:color w:val="auto"/>
          <w:sz w:val="22"/>
          <w:szCs w:val="22"/>
        </w:rPr>
        <w:t>, RN, MSN</w:t>
      </w:r>
      <w:r w:rsidR="00F6349C" w:rsidRPr="00B27B40">
        <w:rPr>
          <w:rFonts w:eastAsia="Calibri"/>
          <w:b/>
          <w:color w:val="auto"/>
          <w:sz w:val="22"/>
          <w:szCs w:val="22"/>
          <w:vertAlign w:val="superscript"/>
        </w:rPr>
        <w:t>1</w:t>
      </w:r>
      <w:r w:rsidR="00F6349C">
        <w:rPr>
          <w:rFonts w:eastAsia="Calibri"/>
          <w:b/>
          <w:color w:val="auto"/>
          <w:sz w:val="22"/>
          <w:szCs w:val="22"/>
          <w:vertAlign w:val="superscript"/>
        </w:rPr>
        <w:t xml:space="preserve">,2; </w:t>
      </w:r>
    </w:p>
    <w:p w:rsidR="00D32AF1" w:rsidRDefault="00B8588C" w:rsidP="00B27B40">
      <w:pPr>
        <w:jc w:val="center"/>
        <w:rPr>
          <w:rFonts w:eastAsia="Calibri"/>
          <w:b/>
          <w:color w:val="auto"/>
          <w:sz w:val="22"/>
          <w:szCs w:val="22"/>
          <w:vertAlign w:val="superscript"/>
        </w:rPr>
      </w:pPr>
      <w:r>
        <w:rPr>
          <w:rFonts w:eastAsia="Calibri"/>
          <w:b/>
          <w:color w:val="auto"/>
          <w:sz w:val="22"/>
          <w:szCs w:val="22"/>
        </w:rPr>
        <w:t>Daniel Parker</w:t>
      </w:r>
      <w:r w:rsidR="005A22D1">
        <w:rPr>
          <w:rFonts w:eastAsia="Calibri"/>
          <w:b/>
          <w:color w:val="auto"/>
          <w:sz w:val="22"/>
          <w:szCs w:val="22"/>
        </w:rPr>
        <w:t>, BS</w:t>
      </w:r>
      <w:r>
        <w:rPr>
          <w:rFonts w:eastAsia="Calibri"/>
          <w:b/>
          <w:color w:val="auto"/>
          <w:sz w:val="22"/>
          <w:szCs w:val="22"/>
          <w:vertAlign w:val="superscript"/>
        </w:rPr>
        <w:t>1,2</w:t>
      </w:r>
      <w:r w:rsidR="000F5B3D" w:rsidRPr="00B27B40">
        <w:rPr>
          <w:rFonts w:eastAsia="Calibri"/>
          <w:b/>
          <w:color w:val="auto"/>
          <w:sz w:val="22"/>
          <w:szCs w:val="22"/>
        </w:rPr>
        <w:t>;</w:t>
      </w:r>
      <w:r w:rsidR="00D32AF1" w:rsidRPr="00B27B40">
        <w:rPr>
          <w:rFonts w:eastAsia="Calibri"/>
          <w:b/>
          <w:color w:val="auto"/>
          <w:sz w:val="22"/>
          <w:szCs w:val="22"/>
        </w:rPr>
        <w:t xml:space="preserve"> </w:t>
      </w:r>
      <w:r w:rsidR="005A22D1">
        <w:rPr>
          <w:rFonts w:eastAsia="Calibri"/>
          <w:b/>
          <w:color w:val="auto"/>
          <w:sz w:val="22"/>
          <w:szCs w:val="22"/>
        </w:rPr>
        <w:t>Kristine Lynch, PhD</w:t>
      </w:r>
      <w:r w:rsidR="00EB40E0">
        <w:rPr>
          <w:rFonts w:eastAsia="Calibri"/>
          <w:b/>
          <w:color w:val="auto"/>
          <w:sz w:val="22"/>
          <w:szCs w:val="22"/>
          <w:vertAlign w:val="superscript"/>
        </w:rPr>
        <w:t>3,4</w:t>
      </w:r>
      <w:r w:rsidR="00EB40E0">
        <w:rPr>
          <w:rFonts w:eastAsia="Calibri"/>
          <w:b/>
          <w:color w:val="auto"/>
          <w:sz w:val="22"/>
          <w:szCs w:val="22"/>
        </w:rPr>
        <w:t xml:space="preserve">; </w:t>
      </w:r>
      <w:r w:rsidR="005A22D1">
        <w:rPr>
          <w:rFonts w:eastAsia="Calibri"/>
          <w:b/>
          <w:color w:val="auto"/>
          <w:sz w:val="22"/>
          <w:szCs w:val="22"/>
        </w:rPr>
        <w:t xml:space="preserve">Scott L. </w:t>
      </w:r>
      <w:proofErr w:type="spellStart"/>
      <w:r w:rsidR="005A22D1">
        <w:rPr>
          <w:rFonts w:eastAsia="Calibri"/>
          <w:b/>
          <w:color w:val="auto"/>
          <w:sz w:val="22"/>
          <w:szCs w:val="22"/>
        </w:rPr>
        <w:t>DuVall</w:t>
      </w:r>
      <w:proofErr w:type="spellEnd"/>
      <w:r w:rsidR="005A22D1">
        <w:rPr>
          <w:rFonts w:eastAsia="Calibri"/>
          <w:b/>
          <w:color w:val="auto"/>
          <w:sz w:val="22"/>
          <w:szCs w:val="22"/>
        </w:rPr>
        <w:t>, Ph</w:t>
      </w:r>
      <w:r w:rsidR="00D32AF1" w:rsidRPr="00B27B40">
        <w:rPr>
          <w:rFonts w:eastAsia="Calibri"/>
          <w:b/>
          <w:color w:val="auto"/>
          <w:sz w:val="22"/>
          <w:szCs w:val="22"/>
        </w:rPr>
        <w:t>D</w:t>
      </w:r>
      <w:r w:rsidR="00D32AF1" w:rsidRPr="00B27B40">
        <w:rPr>
          <w:rFonts w:eastAsia="Calibri"/>
          <w:b/>
          <w:color w:val="auto"/>
          <w:sz w:val="22"/>
          <w:szCs w:val="22"/>
          <w:vertAlign w:val="superscript"/>
        </w:rPr>
        <w:t>3,4</w:t>
      </w:r>
      <w:r w:rsidR="000F5B3D" w:rsidRPr="00B27B40">
        <w:rPr>
          <w:rFonts w:eastAsia="Calibri"/>
          <w:b/>
          <w:color w:val="auto"/>
          <w:sz w:val="22"/>
          <w:szCs w:val="22"/>
        </w:rPr>
        <w:t>;</w:t>
      </w:r>
      <w:r w:rsidR="00D32AF1" w:rsidRPr="00B27B40">
        <w:rPr>
          <w:rFonts w:eastAsia="Calibri"/>
          <w:b/>
          <w:color w:val="auto"/>
          <w:sz w:val="22"/>
          <w:szCs w:val="22"/>
        </w:rPr>
        <w:t xml:space="preserve"> Michael E. Matheny, MD, MPH</w:t>
      </w:r>
      <w:r w:rsidR="00A14D29" w:rsidRPr="00B27B40">
        <w:rPr>
          <w:rFonts w:eastAsia="Calibri"/>
          <w:b/>
          <w:color w:val="auto"/>
          <w:sz w:val="22"/>
          <w:szCs w:val="22"/>
          <w:vertAlign w:val="superscript"/>
        </w:rPr>
        <w:t>1,2</w:t>
      </w:r>
      <w:r w:rsidR="00A14D29" w:rsidRPr="00B27B40">
        <w:rPr>
          <w:rFonts w:eastAsia="Calibri"/>
          <w:b/>
          <w:color w:val="auto"/>
          <w:sz w:val="22"/>
          <w:szCs w:val="22"/>
        </w:rPr>
        <w:t>; Stephen A. Deppen, PhD</w:t>
      </w:r>
      <w:r w:rsidR="00A14D29" w:rsidRPr="00B27B40">
        <w:rPr>
          <w:rFonts w:eastAsia="Calibri"/>
          <w:b/>
          <w:color w:val="auto"/>
          <w:sz w:val="22"/>
          <w:szCs w:val="22"/>
          <w:vertAlign w:val="superscript"/>
        </w:rPr>
        <w:t>1,2</w:t>
      </w:r>
    </w:p>
    <w:p w:rsidR="00B27B40" w:rsidRPr="00B27B40" w:rsidRDefault="00B27B40" w:rsidP="00B27B40">
      <w:pPr>
        <w:jc w:val="center"/>
        <w:rPr>
          <w:b/>
          <w:sz w:val="22"/>
          <w:szCs w:val="22"/>
        </w:rPr>
      </w:pPr>
    </w:p>
    <w:p w:rsidR="00D32AF1" w:rsidRPr="00B27B40" w:rsidRDefault="00D32AF1" w:rsidP="00D32AF1">
      <w:pPr>
        <w:widowControl/>
        <w:pBdr>
          <w:top w:val="none" w:sz="0" w:space="0" w:color="auto"/>
          <w:left w:val="none" w:sz="0" w:space="0" w:color="auto"/>
          <w:bottom w:val="none" w:sz="0" w:space="0" w:color="auto"/>
          <w:right w:val="none" w:sz="0" w:space="0" w:color="auto"/>
          <w:between w:val="none" w:sz="0" w:space="0" w:color="auto"/>
        </w:pBdr>
        <w:jc w:val="center"/>
        <w:rPr>
          <w:rFonts w:eastAsia="Calibri"/>
          <w:b/>
          <w:color w:val="auto"/>
          <w:sz w:val="22"/>
          <w:szCs w:val="22"/>
        </w:rPr>
      </w:pPr>
      <w:r w:rsidRPr="00B27B40">
        <w:rPr>
          <w:rFonts w:eastAsia="Calibri"/>
          <w:b/>
          <w:color w:val="auto"/>
          <w:sz w:val="22"/>
          <w:szCs w:val="22"/>
          <w:vertAlign w:val="superscript"/>
        </w:rPr>
        <w:t>1</w:t>
      </w:r>
      <w:r w:rsidRPr="00B27B40">
        <w:rPr>
          <w:rFonts w:eastAsia="Calibri"/>
          <w:b/>
          <w:color w:val="auto"/>
          <w:sz w:val="22"/>
          <w:szCs w:val="22"/>
        </w:rPr>
        <w:t>Tennessee Valley Healthcare System, Veterans Affairs Medical Center, Nashville, TN;</w:t>
      </w:r>
    </w:p>
    <w:p w:rsidR="00D32AF1" w:rsidRPr="00B27B40" w:rsidRDefault="00D32AF1" w:rsidP="00D32AF1">
      <w:pPr>
        <w:spacing w:after="120"/>
        <w:jc w:val="center"/>
        <w:rPr>
          <w:rFonts w:eastAsia="Calibri"/>
          <w:b/>
          <w:color w:val="auto"/>
          <w:sz w:val="22"/>
          <w:szCs w:val="22"/>
        </w:rPr>
      </w:pPr>
      <w:r w:rsidRPr="00B27B40">
        <w:rPr>
          <w:rFonts w:eastAsia="Calibri"/>
          <w:b/>
          <w:color w:val="auto"/>
          <w:sz w:val="22"/>
          <w:szCs w:val="22"/>
          <w:vertAlign w:val="superscript"/>
        </w:rPr>
        <w:t>2</w:t>
      </w:r>
      <w:r w:rsidRPr="00B27B40">
        <w:rPr>
          <w:rFonts w:eastAsia="Calibri"/>
          <w:b/>
          <w:color w:val="auto"/>
          <w:sz w:val="22"/>
          <w:szCs w:val="22"/>
        </w:rPr>
        <w:t xml:space="preserve">Vanderbilt University, Nashville, TN; </w:t>
      </w:r>
      <w:r w:rsidRPr="00B27B40">
        <w:rPr>
          <w:rFonts w:eastAsia="Calibri"/>
          <w:b/>
          <w:color w:val="auto"/>
          <w:sz w:val="22"/>
          <w:szCs w:val="22"/>
          <w:vertAlign w:val="superscript"/>
        </w:rPr>
        <w:t>3</w:t>
      </w:r>
      <w:r w:rsidRPr="00B27B40">
        <w:rPr>
          <w:rFonts w:eastAsia="Calibri"/>
          <w:b/>
          <w:color w:val="auto"/>
          <w:sz w:val="22"/>
          <w:szCs w:val="22"/>
        </w:rPr>
        <w:t xml:space="preserve">VA Salt Lake City Health Care System, Salt Lake City, UT; </w:t>
      </w:r>
      <w:r w:rsidRPr="00B27B40">
        <w:rPr>
          <w:rFonts w:eastAsia="Calibri"/>
          <w:b/>
          <w:color w:val="auto"/>
          <w:sz w:val="22"/>
          <w:szCs w:val="22"/>
          <w:vertAlign w:val="superscript"/>
        </w:rPr>
        <w:t>4</w:t>
      </w:r>
      <w:r w:rsidRPr="00B27B40">
        <w:rPr>
          <w:rFonts w:eastAsia="Calibri"/>
          <w:b/>
          <w:color w:val="auto"/>
          <w:sz w:val="22"/>
          <w:szCs w:val="22"/>
        </w:rPr>
        <w:t xml:space="preserve">University of Utah, Salt Lake City, UT; </w:t>
      </w:r>
      <w:r w:rsidR="00B27B40" w:rsidRPr="00B27B40">
        <w:rPr>
          <w:rFonts w:eastAsia="Calibri"/>
          <w:b/>
          <w:color w:val="auto"/>
          <w:sz w:val="22"/>
          <w:szCs w:val="22"/>
          <w:vertAlign w:val="superscript"/>
        </w:rPr>
        <w:t>5</w:t>
      </w:r>
      <w:r w:rsidR="00B27B40" w:rsidRPr="00B27B40">
        <w:rPr>
          <w:rFonts w:eastAsia="Calibri"/>
          <w:b/>
          <w:color w:val="auto"/>
          <w:sz w:val="22"/>
          <w:szCs w:val="22"/>
        </w:rPr>
        <w:t>VA Information Resource Center, Edward Hines Jr. VA Hospital, Hines, IL</w:t>
      </w:r>
    </w:p>
    <w:p w:rsidR="00E70DA9" w:rsidRDefault="00CE69CE" w:rsidP="00B8588C">
      <w:pPr>
        <w:keepNext/>
        <w:spacing w:after="120"/>
        <w:jc w:val="both"/>
        <w:rPr>
          <w:i/>
        </w:rPr>
      </w:pPr>
      <w:r>
        <w:rPr>
          <w:b/>
        </w:rPr>
        <w:t>Abstract</w:t>
      </w:r>
      <w:r w:rsidR="00B8588C">
        <w:rPr>
          <w:b/>
        </w:rPr>
        <w:t xml:space="preserve">: </w:t>
      </w:r>
      <w:r w:rsidR="00C16AA6">
        <w:rPr>
          <w:i/>
        </w:rPr>
        <w:t xml:space="preserve">We </w:t>
      </w:r>
      <w:r w:rsidR="006A63FF">
        <w:rPr>
          <w:i/>
        </w:rPr>
        <w:t xml:space="preserve">developed two OMOP CDMs: </w:t>
      </w:r>
      <w:r w:rsidR="00C16AA6">
        <w:rPr>
          <w:i/>
        </w:rPr>
        <w:t xml:space="preserve">Veteran Health </w:t>
      </w:r>
      <w:r w:rsidR="000F5B3D">
        <w:rPr>
          <w:i/>
        </w:rPr>
        <w:t>Administration (VHA) Corporate Data W</w:t>
      </w:r>
      <w:r w:rsidR="00C16AA6">
        <w:rPr>
          <w:i/>
        </w:rPr>
        <w:t>arehouse</w:t>
      </w:r>
      <w:r w:rsidR="00FC0F53">
        <w:rPr>
          <w:i/>
        </w:rPr>
        <w:t xml:space="preserve"> (OMOP </w:t>
      </w:r>
      <w:r w:rsidR="004E459B">
        <w:rPr>
          <w:i/>
        </w:rPr>
        <w:t>VA)</w:t>
      </w:r>
      <w:r w:rsidR="00C16AA6">
        <w:rPr>
          <w:i/>
        </w:rPr>
        <w:t xml:space="preserve"> and </w:t>
      </w:r>
      <w:r w:rsidR="00BB41E5">
        <w:rPr>
          <w:i/>
        </w:rPr>
        <w:t>M</w:t>
      </w:r>
      <w:r w:rsidR="00C16AA6">
        <w:rPr>
          <w:i/>
        </w:rPr>
        <w:t xml:space="preserve">edicare </w:t>
      </w:r>
      <w:r w:rsidR="00585647">
        <w:rPr>
          <w:i/>
        </w:rPr>
        <w:t xml:space="preserve">enrollment and </w:t>
      </w:r>
      <w:r w:rsidR="00C16AA6">
        <w:rPr>
          <w:i/>
        </w:rPr>
        <w:t>claims data</w:t>
      </w:r>
      <w:r w:rsidR="00FC0F53">
        <w:rPr>
          <w:i/>
        </w:rPr>
        <w:t xml:space="preserve"> (OMOP </w:t>
      </w:r>
      <w:r w:rsidR="004E459B">
        <w:rPr>
          <w:i/>
        </w:rPr>
        <w:t>CMS)</w:t>
      </w:r>
      <w:r w:rsidR="008B6BA2">
        <w:rPr>
          <w:i/>
        </w:rPr>
        <w:t xml:space="preserve">. </w:t>
      </w:r>
      <w:r w:rsidR="00170AF5">
        <w:rPr>
          <w:i/>
        </w:rPr>
        <w:t>W</w:t>
      </w:r>
      <w:r w:rsidR="008B6BA2">
        <w:rPr>
          <w:i/>
        </w:rPr>
        <w:t xml:space="preserve">e </w:t>
      </w:r>
      <w:r w:rsidR="00BC7A74">
        <w:rPr>
          <w:i/>
        </w:rPr>
        <w:t xml:space="preserve">examined the consistency </w:t>
      </w:r>
      <w:r w:rsidR="000F5B3D">
        <w:rPr>
          <w:i/>
        </w:rPr>
        <w:t xml:space="preserve">between </w:t>
      </w:r>
      <w:r w:rsidR="00E94A2A">
        <w:rPr>
          <w:i/>
        </w:rPr>
        <w:t>the two</w:t>
      </w:r>
      <w:r w:rsidR="000F5B3D">
        <w:rPr>
          <w:i/>
        </w:rPr>
        <w:t xml:space="preserve"> datasets </w:t>
      </w:r>
      <w:r w:rsidR="006F2721">
        <w:rPr>
          <w:i/>
        </w:rPr>
        <w:t xml:space="preserve">on </w:t>
      </w:r>
      <w:r w:rsidR="008B6BA2">
        <w:rPr>
          <w:i/>
        </w:rPr>
        <w:t>date of birth</w:t>
      </w:r>
      <w:r w:rsidR="00BB41E5">
        <w:rPr>
          <w:i/>
        </w:rPr>
        <w:t xml:space="preserve"> (DOB)</w:t>
      </w:r>
      <w:r w:rsidR="008B6BA2">
        <w:rPr>
          <w:i/>
        </w:rPr>
        <w:t xml:space="preserve">, gender and </w:t>
      </w:r>
      <w:r w:rsidR="000F5B3D">
        <w:rPr>
          <w:i/>
        </w:rPr>
        <w:t>race</w:t>
      </w:r>
      <w:r w:rsidR="002A53EB">
        <w:rPr>
          <w:i/>
        </w:rPr>
        <w:t>. A</w:t>
      </w:r>
      <w:r w:rsidR="00170AF5">
        <w:rPr>
          <w:i/>
        </w:rPr>
        <w:t>s</w:t>
      </w:r>
      <w:r w:rsidR="002A53EB">
        <w:rPr>
          <w:i/>
        </w:rPr>
        <w:t xml:space="preserve"> one </w:t>
      </w:r>
      <w:r w:rsidR="004E459B">
        <w:rPr>
          <w:i/>
        </w:rPr>
        <w:t>quality assurance approach</w:t>
      </w:r>
      <w:r w:rsidR="002A53EB">
        <w:rPr>
          <w:i/>
        </w:rPr>
        <w:t xml:space="preserve">, </w:t>
      </w:r>
      <w:r w:rsidR="00D63FCB">
        <w:rPr>
          <w:i/>
        </w:rPr>
        <w:t xml:space="preserve">this </w:t>
      </w:r>
      <w:r w:rsidR="00BB41E5">
        <w:rPr>
          <w:i/>
        </w:rPr>
        <w:t xml:space="preserve">cross </w:t>
      </w:r>
      <w:r w:rsidR="00D63FCB">
        <w:rPr>
          <w:i/>
        </w:rPr>
        <w:t>validation</w:t>
      </w:r>
      <w:r w:rsidR="002A53EB">
        <w:rPr>
          <w:i/>
        </w:rPr>
        <w:t xml:space="preserve"> </w:t>
      </w:r>
      <w:r w:rsidR="00FC0F53">
        <w:rPr>
          <w:i/>
        </w:rPr>
        <w:t>provided</w:t>
      </w:r>
      <w:r w:rsidR="00170AF5">
        <w:rPr>
          <w:i/>
        </w:rPr>
        <w:t xml:space="preserve"> </w:t>
      </w:r>
      <w:r w:rsidR="00BB41E5">
        <w:rPr>
          <w:i/>
        </w:rPr>
        <w:t xml:space="preserve">data </w:t>
      </w:r>
      <w:r w:rsidR="00FC0F53">
        <w:rPr>
          <w:i/>
        </w:rPr>
        <w:t xml:space="preserve">consistency and </w:t>
      </w:r>
      <w:r w:rsidR="003556BE">
        <w:rPr>
          <w:i/>
        </w:rPr>
        <w:t xml:space="preserve">an estimate of </w:t>
      </w:r>
      <w:r w:rsidR="00FC0F53">
        <w:rPr>
          <w:i/>
        </w:rPr>
        <w:t>possible reduction of missing data in each dataset</w:t>
      </w:r>
      <w:r w:rsidR="00170AF5">
        <w:rPr>
          <w:i/>
        </w:rPr>
        <w:t xml:space="preserve">. </w:t>
      </w:r>
      <w:r w:rsidR="00FC0F53">
        <w:rPr>
          <w:i/>
        </w:rPr>
        <w:t>Using scrambled social security number, we</w:t>
      </w:r>
      <w:r w:rsidR="00BC7A74">
        <w:rPr>
          <w:i/>
        </w:rPr>
        <w:t xml:space="preserve"> link</w:t>
      </w:r>
      <w:r w:rsidR="00FC0F53">
        <w:rPr>
          <w:i/>
        </w:rPr>
        <w:t>ed</w:t>
      </w:r>
      <w:r w:rsidR="00BC7A74">
        <w:rPr>
          <w:i/>
        </w:rPr>
        <w:t xml:space="preserve"> the two </w:t>
      </w:r>
      <w:r w:rsidR="00B4698A">
        <w:rPr>
          <w:i/>
        </w:rPr>
        <w:t>datasets</w:t>
      </w:r>
      <w:r w:rsidR="00FC0F53">
        <w:rPr>
          <w:i/>
        </w:rPr>
        <w:t>.</w:t>
      </w:r>
      <w:r w:rsidR="00BC7A74">
        <w:rPr>
          <w:i/>
        </w:rPr>
        <w:t xml:space="preserve"> </w:t>
      </w:r>
      <w:r w:rsidR="00FC0F53">
        <w:rPr>
          <w:i/>
        </w:rPr>
        <w:t>O</w:t>
      </w:r>
      <w:r w:rsidR="00E10B08">
        <w:rPr>
          <w:i/>
        </w:rPr>
        <w:t xml:space="preserve">ut of </w:t>
      </w:r>
      <w:r w:rsidR="00BB41E5">
        <w:rPr>
          <w:i/>
        </w:rPr>
        <w:t xml:space="preserve">23 million of </w:t>
      </w:r>
      <w:r w:rsidR="00B4698A">
        <w:rPr>
          <w:i/>
        </w:rPr>
        <w:t>unique patients in OMOP-</w:t>
      </w:r>
      <w:r w:rsidR="00BB41E5">
        <w:rPr>
          <w:i/>
        </w:rPr>
        <w:t xml:space="preserve">VA and 12 million </w:t>
      </w:r>
      <w:r w:rsidR="00B4698A">
        <w:rPr>
          <w:i/>
        </w:rPr>
        <w:t>in OMOP-</w:t>
      </w:r>
      <w:r w:rsidR="00BB41E5">
        <w:rPr>
          <w:i/>
        </w:rPr>
        <w:t xml:space="preserve">CMS, about 7 million patients were </w:t>
      </w:r>
      <w:r w:rsidR="00B4698A">
        <w:rPr>
          <w:i/>
        </w:rPr>
        <w:t xml:space="preserve">common </w:t>
      </w:r>
      <w:r w:rsidR="00BB41E5">
        <w:rPr>
          <w:i/>
        </w:rPr>
        <w:t xml:space="preserve">between the two OMOP CDMs. </w:t>
      </w:r>
      <w:r w:rsidR="0052265D">
        <w:rPr>
          <w:i/>
        </w:rPr>
        <w:t xml:space="preserve">The consistency </w:t>
      </w:r>
      <w:r w:rsidR="00FC0F53">
        <w:rPr>
          <w:i/>
        </w:rPr>
        <w:t>between these two CDMs wa</w:t>
      </w:r>
      <w:r w:rsidR="0052265D">
        <w:rPr>
          <w:i/>
        </w:rPr>
        <w:t>s 93.82</w:t>
      </w:r>
      <w:r w:rsidR="007E1B7A">
        <w:rPr>
          <w:i/>
        </w:rPr>
        <w:t>%</w:t>
      </w:r>
      <w:r w:rsidR="0052265D">
        <w:rPr>
          <w:i/>
        </w:rPr>
        <w:t xml:space="preserve"> for DOB, 98.87% for gender</w:t>
      </w:r>
      <w:r w:rsidR="007E1B7A">
        <w:rPr>
          <w:i/>
        </w:rPr>
        <w:t xml:space="preserve">, and 48.1% </w:t>
      </w:r>
      <w:r w:rsidR="00585647">
        <w:rPr>
          <w:i/>
        </w:rPr>
        <w:t>for race</w:t>
      </w:r>
      <w:r w:rsidR="003556BE">
        <w:rPr>
          <w:i/>
        </w:rPr>
        <w:t>. Low race matching rates occurred</w:t>
      </w:r>
      <w:r w:rsidR="00585647">
        <w:rPr>
          <w:i/>
        </w:rPr>
        <w:t xml:space="preserve"> </w:t>
      </w:r>
      <w:r w:rsidR="003556BE">
        <w:rPr>
          <w:i/>
        </w:rPr>
        <w:t xml:space="preserve">due to extensive missing </w:t>
      </w:r>
      <w:r w:rsidR="00585647">
        <w:rPr>
          <w:i/>
        </w:rPr>
        <w:t xml:space="preserve">race </w:t>
      </w:r>
      <w:r w:rsidR="002E397B">
        <w:rPr>
          <w:i/>
        </w:rPr>
        <w:t>value</w:t>
      </w:r>
      <w:r w:rsidR="003556BE">
        <w:rPr>
          <w:i/>
        </w:rPr>
        <w:t xml:space="preserve"> in the VA dataset</w:t>
      </w:r>
      <w:r w:rsidR="00585647">
        <w:rPr>
          <w:i/>
        </w:rPr>
        <w:t>.</w:t>
      </w:r>
      <w:r w:rsidR="00492D31">
        <w:rPr>
          <w:i/>
        </w:rPr>
        <w:t xml:space="preserve"> Missing DOB and </w:t>
      </w:r>
      <w:r w:rsidR="00FC0F53">
        <w:rPr>
          <w:i/>
        </w:rPr>
        <w:t>gender</w:t>
      </w:r>
      <w:r w:rsidR="00492D31">
        <w:rPr>
          <w:i/>
        </w:rPr>
        <w:t xml:space="preserve"> in OMOP VA</w:t>
      </w:r>
      <w:r w:rsidR="00FC0F53">
        <w:rPr>
          <w:i/>
        </w:rPr>
        <w:t xml:space="preserve"> could be reduced by </w:t>
      </w:r>
      <w:r w:rsidR="00492D31">
        <w:rPr>
          <w:i/>
        </w:rPr>
        <w:t>0.54%</w:t>
      </w:r>
      <w:r w:rsidR="00466A11">
        <w:rPr>
          <w:i/>
        </w:rPr>
        <w:t xml:space="preserve"> and 0.07%</w:t>
      </w:r>
      <w:bookmarkStart w:id="0" w:name="_GoBack"/>
      <w:bookmarkEnd w:id="0"/>
      <w:r w:rsidR="00492D31">
        <w:rPr>
          <w:i/>
        </w:rPr>
        <w:t xml:space="preserve"> respectively</w:t>
      </w:r>
      <w:r w:rsidR="00FC0F53">
        <w:rPr>
          <w:i/>
        </w:rPr>
        <w:t>.</w:t>
      </w:r>
      <w:r w:rsidR="00DA77D5">
        <w:rPr>
          <w:i/>
        </w:rPr>
        <w:t xml:space="preserve"> </w:t>
      </w:r>
      <w:r w:rsidR="00FC0F53">
        <w:rPr>
          <w:i/>
        </w:rPr>
        <w:t xml:space="preserve">Missing race </w:t>
      </w:r>
      <w:r w:rsidR="003556BE">
        <w:rPr>
          <w:i/>
        </w:rPr>
        <w:t xml:space="preserve">could be reduced by </w:t>
      </w:r>
      <w:r w:rsidR="00A37809">
        <w:rPr>
          <w:i/>
        </w:rPr>
        <w:t>48.8</w:t>
      </w:r>
      <w:r w:rsidR="003556BE">
        <w:rPr>
          <w:i/>
        </w:rPr>
        <w:t xml:space="preserve">% and </w:t>
      </w:r>
      <w:r w:rsidR="00A37809">
        <w:rPr>
          <w:i/>
        </w:rPr>
        <w:t>2.4</w:t>
      </w:r>
      <w:r w:rsidR="003556BE">
        <w:rPr>
          <w:i/>
        </w:rPr>
        <w:t xml:space="preserve">% for the OMOP VA and OMOP CMS datasets, respectively. </w:t>
      </w:r>
      <w:r w:rsidR="00E31B13">
        <w:rPr>
          <w:i/>
        </w:rPr>
        <w:t xml:space="preserve">By comparing demographic </w:t>
      </w:r>
      <w:r w:rsidR="002E397B">
        <w:rPr>
          <w:i/>
        </w:rPr>
        <w:t>information</w:t>
      </w:r>
      <w:r w:rsidR="00E31B13">
        <w:rPr>
          <w:i/>
        </w:rPr>
        <w:t xml:space="preserve"> from two longitudinal dataset</w:t>
      </w:r>
      <w:r w:rsidR="002E397B">
        <w:rPr>
          <w:i/>
        </w:rPr>
        <w:t xml:space="preserve">s we were able to significantly </w:t>
      </w:r>
      <w:r w:rsidR="00E31B13">
        <w:rPr>
          <w:i/>
        </w:rPr>
        <w:t>reduce missing data in both.</w:t>
      </w:r>
    </w:p>
    <w:p w:rsidR="00585647" w:rsidRDefault="00CE69CE" w:rsidP="00E31B13">
      <w:pPr>
        <w:keepNext/>
        <w:spacing w:before="120" w:after="120"/>
        <w:jc w:val="both"/>
      </w:pPr>
      <w:r>
        <w:rPr>
          <w:b/>
        </w:rPr>
        <w:t>Introduction</w:t>
      </w:r>
      <w:r w:rsidR="00B8588C">
        <w:rPr>
          <w:b/>
        </w:rPr>
        <w:t xml:space="preserve">: </w:t>
      </w:r>
      <w:r w:rsidR="003D1916">
        <w:t xml:space="preserve">VINCI </w:t>
      </w:r>
      <w:r w:rsidR="003D1916">
        <w:rPr>
          <w:szCs w:val="24"/>
        </w:rPr>
        <w:t xml:space="preserve">(VA Informatics and Computing Infrastructure) </w:t>
      </w:r>
      <w:r w:rsidR="003D1916">
        <w:t xml:space="preserve">began transforming VA CDW into OMOP </w:t>
      </w:r>
      <w:r w:rsidR="00E31B13">
        <w:t>in 2015.</w:t>
      </w:r>
      <w:r w:rsidR="003D1916">
        <w:t xml:space="preserve"> Starting in 2017, VINCI </w:t>
      </w:r>
      <w:r w:rsidR="00D414AE">
        <w:t>began cooperating</w:t>
      </w:r>
      <w:r w:rsidR="003D1916">
        <w:t xml:space="preserve"> with </w:t>
      </w:r>
      <w:proofErr w:type="spellStart"/>
      <w:r w:rsidR="003D1916">
        <w:t>VIReC</w:t>
      </w:r>
      <w:proofErr w:type="spellEnd"/>
      <w:r w:rsidR="003D1916">
        <w:t xml:space="preserve"> (VA Information Resource Center) to transform CMS data into </w:t>
      </w:r>
      <w:r w:rsidR="00E31B13">
        <w:t xml:space="preserve">the </w:t>
      </w:r>
      <w:r w:rsidR="003D1916">
        <w:t>OMOP</w:t>
      </w:r>
      <w:r w:rsidR="00E31B13">
        <w:t xml:space="preserve"> common data model</w:t>
      </w:r>
      <w:r w:rsidR="003D1916">
        <w:t xml:space="preserve">. </w:t>
      </w:r>
      <w:r w:rsidR="00D414AE">
        <w:t>D</w:t>
      </w:r>
      <w:r w:rsidR="00466604">
        <w:t xml:space="preserve">emographic </w:t>
      </w:r>
      <w:r w:rsidR="00611E3A">
        <w:t xml:space="preserve">information </w:t>
      </w:r>
      <w:r w:rsidR="00466604">
        <w:t>in electronic medical record</w:t>
      </w:r>
      <w:r w:rsidR="00D414AE">
        <w:t xml:space="preserve">s and claims data </w:t>
      </w:r>
      <w:r w:rsidR="005F4F24">
        <w:t>were</w:t>
      </w:r>
      <w:r w:rsidR="00D414AE">
        <w:t xml:space="preserve"> collected </w:t>
      </w:r>
      <w:r w:rsidR="00AD2360">
        <w:t>from multiple sources and multi</w:t>
      </w:r>
      <w:r w:rsidR="00D414AE">
        <w:t>ple times. Longitudinal data commonly have conflicting stat</w:t>
      </w:r>
      <w:r w:rsidR="00AD2360">
        <w:t>e</w:t>
      </w:r>
      <w:r w:rsidR="00D414AE">
        <w:t>s of what should be relatively stable demographic variables, namely DOB, gender and race</w:t>
      </w:r>
      <w:r w:rsidR="00AD2360">
        <w:t>.</w:t>
      </w:r>
      <w:r w:rsidR="00D414AE">
        <w:t xml:space="preserve"> Thus, demographic data often require a great deal of cleaning</w:t>
      </w:r>
      <w:r w:rsidR="00AD2360">
        <w:t>, costing researchers’ significant time and effort</w:t>
      </w:r>
      <w:r w:rsidR="004800D4">
        <w:t>.</w:t>
      </w:r>
    </w:p>
    <w:p w:rsidR="00E70DA9" w:rsidRPr="00E94A2A" w:rsidRDefault="00AA445F">
      <w:pPr>
        <w:spacing w:after="120"/>
        <w:jc w:val="both"/>
        <w:rPr>
          <w:color w:val="auto"/>
        </w:rPr>
      </w:pPr>
      <w:r>
        <w:t xml:space="preserve">Between these two large datasets we had an opportunity to compare each demographic variable and </w:t>
      </w:r>
      <w:r w:rsidR="004800D4">
        <w:t>estimate the</w:t>
      </w:r>
      <w:r>
        <w:t xml:space="preserve"> potential to reduce the level of missing or conflicting data. </w:t>
      </w:r>
      <w:r w:rsidR="0045375B">
        <w:t xml:space="preserve">To validate the demographic information in </w:t>
      </w:r>
      <w:r w:rsidR="002E3CF1">
        <w:t>both OMOP CDM</w:t>
      </w:r>
      <w:r w:rsidR="004741B8">
        <w:t xml:space="preserve"> person table, gender, race and </w:t>
      </w:r>
      <w:r w:rsidR="002E3CF1">
        <w:t>DOB</w:t>
      </w:r>
      <w:r w:rsidR="004741B8">
        <w:t xml:space="preserve"> were compared</w:t>
      </w:r>
      <w:r w:rsidR="00CE69CE">
        <w:t>.</w:t>
      </w:r>
      <w:r w:rsidR="004741B8">
        <w:t xml:space="preserve"> </w:t>
      </w:r>
    </w:p>
    <w:p w:rsidR="004800D4" w:rsidRDefault="00D5344E" w:rsidP="004800D4">
      <w:pPr>
        <w:keepNext/>
        <w:spacing w:before="120" w:after="120"/>
        <w:jc w:val="both"/>
      </w:pPr>
      <w:r>
        <w:rPr>
          <w:b/>
        </w:rPr>
        <w:t>Method and Results</w:t>
      </w:r>
      <w:r w:rsidR="00B8588C">
        <w:rPr>
          <w:b/>
        </w:rPr>
        <w:t xml:space="preserve">: </w:t>
      </w:r>
      <w:r w:rsidR="00AA445F">
        <w:t>The</w:t>
      </w:r>
      <w:r w:rsidR="00E0335D">
        <w:t xml:space="preserve"> VA cohort included over 23 million veterans who accessed the VA healthcare system</w:t>
      </w:r>
      <w:r w:rsidR="00BC500B">
        <w:t xml:space="preserve"> between January 2000 </w:t>
      </w:r>
      <w:r w:rsidR="00AA445F">
        <w:t>and</w:t>
      </w:r>
      <w:r w:rsidR="004800D4">
        <w:t xml:space="preserve"> December 2016. Before converting the VHA CDW demographic information into the OMOP person table, a multi-facet</w:t>
      </w:r>
      <w:r w:rsidR="00E0335D">
        <w:t>ed effort was taken to evaluate</w:t>
      </w:r>
      <w:r w:rsidR="004800D4">
        <w:t xml:space="preserve"> conflicting data and determine the unique demographic values for each person based on the best practice logic developed by content experts (</w:t>
      </w:r>
      <w:proofErr w:type="spellStart"/>
      <w:r w:rsidR="004800D4">
        <w:t>VIReC</w:t>
      </w:r>
      <w:proofErr w:type="spellEnd"/>
      <w:r w:rsidR="004800D4">
        <w:t>) and source data managers (VINCI).</w:t>
      </w:r>
      <w:r w:rsidR="004800D4" w:rsidRPr="00FB471B">
        <w:rPr>
          <w:sz w:val="24"/>
          <w:szCs w:val="24"/>
          <w:vertAlign w:val="superscript"/>
        </w:rPr>
        <w:t>1,2,3,4</w:t>
      </w:r>
    </w:p>
    <w:p w:rsidR="004800D4" w:rsidRDefault="004800D4" w:rsidP="00B8588C">
      <w:pPr>
        <w:keepNext/>
        <w:spacing w:before="120" w:after="120"/>
        <w:jc w:val="both"/>
        <w:rPr>
          <w:color w:val="auto"/>
        </w:rPr>
      </w:pPr>
      <w:r>
        <w:rPr>
          <w:color w:val="auto"/>
        </w:rPr>
        <w:t>The Medicare data comprised</w:t>
      </w:r>
      <w:r w:rsidR="00273D3C">
        <w:rPr>
          <w:color w:val="auto"/>
        </w:rPr>
        <w:t xml:space="preserve"> </w:t>
      </w:r>
      <w:r w:rsidR="00E0335D">
        <w:rPr>
          <w:color w:val="auto"/>
        </w:rPr>
        <w:t>12 million unique</w:t>
      </w:r>
      <w:r w:rsidR="00273D3C">
        <w:rPr>
          <w:color w:val="auto"/>
        </w:rPr>
        <w:t xml:space="preserve"> </w:t>
      </w:r>
      <w:r w:rsidR="00E0335D">
        <w:rPr>
          <w:color w:val="auto"/>
        </w:rPr>
        <w:t>v</w:t>
      </w:r>
      <w:r w:rsidR="00273D3C">
        <w:rPr>
          <w:color w:val="auto"/>
        </w:rPr>
        <w:t>eterans who have ever been enrolled in Medicare</w:t>
      </w:r>
      <w:r w:rsidR="00483A6A">
        <w:t xml:space="preserve">. </w:t>
      </w:r>
      <w:r>
        <w:rPr>
          <w:color w:val="auto"/>
        </w:rPr>
        <w:t>Medicare date of birth and gender were sourced from the Medicare Vital Status file.  Medicare race was sourced from the one of two sources.  The Medicare Vital Status file contains a race value; however, these data underreport minority groups, especially Hispanic or Asian or Pacific Islander</w:t>
      </w:r>
      <w:r w:rsidR="00E0335D">
        <w:rPr>
          <w:color w:val="auto"/>
        </w:rPr>
        <w:t>s</w:t>
      </w:r>
      <w:r>
        <w:rPr>
          <w:color w:val="auto"/>
          <w:vertAlign w:val="superscript"/>
        </w:rPr>
        <w:t>5</w:t>
      </w:r>
      <w:r>
        <w:rPr>
          <w:color w:val="auto"/>
        </w:rPr>
        <w:t xml:space="preserve">.  </w:t>
      </w:r>
      <w:r w:rsidR="00E0335D">
        <w:rPr>
          <w:color w:val="auto"/>
        </w:rPr>
        <w:t xml:space="preserve">Therefore, </w:t>
      </w:r>
      <w:r>
        <w:rPr>
          <w:color w:val="auto"/>
        </w:rPr>
        <w:t xml:space="preserve">an imputed race value (RTI Race) </w:t>
      </w:r>
      <w:r w:rsidR="00E0335D">
        <w:rPr>
          <w:color w:val="auto"/>
        </w:rPr>
        <w:t xml:space="preserve">which was </w:t>
      </w:r>
      <w:r>
        <w:rPr>
          <w:color w:val="auto"/>
        </w:rPr>
        <w:t xml:space="preserve">based on </w:t>
      </w:r>
      <w:r w:rsidR="00E0335D">
        <w:rPr>
          <w:color w:val="auto"/>
        </w:rPr>
        <w:t xml:space="preserve">an algorithm utilizing </w:t>
      </w:r>
      <w:r>
        <w:rPr>
          <w:color w:val="auto"/>
        </w:rPr>
        <w:t>surname, state of resi</w:t>
      </w:r>
      <w:r w:rsidR="00E0335D">
        <w:rPr>
          <w:color w:val="auto"/>
        </w:rPr>
        <w:t>dence, and language preference</w:t>
      </w:r>
      <w:r>
        <w:rPr>
          <w:color w:val="auto"/>
        </w:rPr>
        <w:t xml:space="preserve"> </w:t>
      </w:r>
      <w:r w:rsidR="00E0335D">
        <w:rPr>
          <w:color w:val="auto"/>
        </w:rPr>
        <w:t>was used when available. O</w:t>
      </w:r>
      <w:r>
        <w:rPr>
          <w:color w:val="auto"/>
        </w:rPr>
        <w:t>therwise</w:t>
      </w:r>
      <w:r w:rsidR="00E0335D">
        <w:rPr>
          <w:color w:val="auto"/>
        </w:rPr>
        <w:t>,</w:t>
      </w:r>
      <w:r>
        <w:rPr>
          <w:color w:val="auto"/>
        </w:rPr>
        <w:t xml:space="preserve"> the race value from the Medicare Vital Status file was </w:t>
      </w:r>
      <w:r w:rsidR="00E0335D">
        <w:rPr>
          <w:color w:val="auto"/>
        </w:rPr>
        <w:t>the race value of record</w:t>
      </w:r>
      <w:r>
        <w:rPr>
          <w:color w:val="auto"/>
        </w:rPr>
        <w:t xml:space="preserve">. </w:t>
      </w:r>
    </w:p>
    <w:p w:rsidR="00486CBB" w:rsidRDefault="00AA4989" w:rsidP="00B8588C">
      <w:pPr>
        <w:keepNext/>
        <w:spacing w:before="120" w:after="120"/>
        <w:jc w:val="both"/>
      </w:pPr>
      <w:r>
        <w:t>The two OMOP CDM</w:t>
      </w:r>
      <w:r w:rsidR="00B84A9A">
        <w:t>s</w:t>
      </w:r>
      <w:r>
        <w:t xml:space="preserve"> were linked through scramble </w:t>
      </w:r>
      <w:r w:rsidR="00E0335D">
        <w:t xml:space="preserve">SSN resulting in </w:t>
      </w:r>
      <w:r w:rsidR="004960A7">
        <w:t xml:space="preserve">about 7 million </w:t>
      </w:r>
      <w:r w:rsidR="00E0335D">
        <w:t xml:space="preserve">common veterans. </w:t>
      </w:r>
      <w:r w:rsidR="00014BD7">
        <w:t xml:space="preserve">We found 6,523,073 same DOB, a 93.82% rate of </w:t>
      </w:r>
      <w:r w:rsidR="00E0335D">
        <w:t>concordance</w:t>
      </w:r>
      <w:r w:rsidR="00F43EBF">
        <w:t>.</w:t>
      </w:r>
      <w:r w:rsidR="00014BD7">
        <w:t xml:space="preserve"> </w:t>
      </w:r>
      <w:r w:rsidR="00F43EBF">
        <w:t>N</w:t>
      </w:r>
      <w:r w:rsidR="00014BD7">
        <w:t xml:space="preserve">o missing DOB </w:t>
      </w:r>
      <w:r w:rsidR="00F43EBF">
        <w:t xml:space="preserve">was observed </w:t>
      </w:r>
      <w:r w:rsidR="00014BD7">
        <w:t xml:space="preserve">in </w:t>
      </w:r>
      <w:r w:rsidR="00E0335D">
        <w:t xml:space="preserve">the </w:t>
      </w:r>
      <w:r w:rsidR="00014BD7">
        <w:t xml:space="preserve">OMOP-CMS cohort, but 37,537 </w:t>
      </w:r>
      <w:r w:rsidR="00014BD7">
        <w:lastRenderedPageBreak/>
        <w:t>missing DOB</w:t>
      </w:r>
      <w:r w:rsidR="00F43EBF">
        <w:t xml:space="preserve"> occurred</w:t>
      </w:r>
      <w:r w:rsidR="00014BD7">
        <w:t xml:space="preserve"> in </w:t>
      </w:r>
      <w:r w:rsidR="00F43EBF">
        <w:t xml:space="preserve">the </w:t>
      </w:r>
      <w:r w:rsidR="00014BD7">
        <w:t>OMOP-VA cohort (0.5%).</w:t>
      </w:r>
    </w:p>
    <w:p w:rsidR="00C90808" w:rsidRDefault="00C90808" w:rsidP="00C90808">
      <w:pPr>
        <w:jc w:val="both"/>
      </w:pPr>
      <w:r>
        <w:rPr>
          <w:b/>
        </w:rPr>
        <w:t xml:space="preserve">Table 1. </w:t>
      </w:r>
      <w:r>
        <w:t>Consistency of gender in OMOP-VA and OMOP-CMS person table</w:t>
      </w:r>
    </w:p>
    <w:tbl>
      <w:tblPr>
        <w:tblpPr w:leftFromText="180" w:rightFromText="180" w:vertAnchor="text" w:tblpX="93" w:tblpY="1"/>
        <w:tblOverlap w:val="never"/>
        <w:tblW w:w="6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276"/>
        <w:gridCol w:w="1134"/>
        <w:gridCol w:w="1134"/>
        <w:gridCol w:w="1275"/>
      </w:tblGrid>
      <w:tr w:rsidR="00C90808" w:rsidRPr="004174F6" w:rsidTr="00C90808">
        <w:trPr>
          <w:trHeight w:val="20"/>
        </w:trPr>
        <w:tc>
          <w:tcPr>
            <w:tcW w:w="2709" w:type="dxa"/>
            <w:gridSpan w:val="2"/>
            <w:vMerge w:val="restart"/>
            <w:shd w:val="clear" w:color="auto" w:fill="auto"/>
            <w:noWrap/>
            <w:vAlign w:val="bottom"/>
            <w:hideMark/>
          </w:tcPr>
          <w:p w:rsidR="00C90808" w:rsidRPr="005F7B59" w:rsidRDefault="00C90808" w:rsidP="00C90808">
            <w:pPr>
              <w:widowControl/>
              <w:pBdr>
                <w:top w:val="none" w:sz="0" w:space="0" w:color="auto"/>
                <w:left w:val="none" w:sz="0" w:space="0" w:color="auto"/>
                <w:bottom w:val="none" w:sz="0" w:space="0" w:color="auto"/>
                <w:right w:val="none" w:sz="0" w:space="0" w:color="auto"/>
                <w:between w:val="none" w:sz="0" w:space="0" w:color="auto"/>
              </w:pBdr>
            </w:pPr>
          </w:p>
        </w:tc>
        <w:tc>
          <w:tcPr>
            <w:tcW w:w="3543" w:type="dxa"/>
            <w:gridSpan w:val="3"/>
            <w:shd w:val="clear" w:color="auto" w:fill="auto"/>
            <w:noWrap/>
            <w:vAlign w:val="bottom"/>
            <w:hideMark/>
          </w:tcPr>
          <w:p w:rsidR="00C90808" w:rsidRPr="005F7B59" w:rsidRDefault="00C90808" w:rsidP="00C90808">
            <w:pPr>
              <w:widowControl/>
              <w:pBdr>
                <w:top w:val="none" w:sz="0" w:space="0" w:color="auto"/>
                <w:left w:val="none" w:sz="0" w:space="0" w:color="auto"/>
                <w:bottom w:val="none" w:sz="0" w:space="0" w:color="auto"/>
                <w:right w:val="none" w:sz="0" w:space="0" w:color="auto"/>
                <w:between w:val="none" w:sz="0" w:space="0" w:color="auto"/>
              </w:pBdr>
            </w:pPr>
            <w:r w:rsidRPr="005F7B59">
              <w:t>Gender in OMOP-CMS person table</w:t>
            </w:r>
          </w:p>
        </w:tc>
      </w:tr>
      <w:tr w:rsidR="00C90808" w:rsidRPr="004174F6" w:rsidTr="00C90808">
        <w:trPr>
          <w:trHeight w:val="20"/>
        </w:trPr>
        <w:tc>
          <w:tcPr>
            <w:tcW w:w="2709" w:type="dxa"/>
            <w:gridSpan w:val="2"/>
            <w:vMerge/>
            <w:shd w:val="clear" w:color="auto" w:fill="auto"/>
            <w:noWrap/>
            <w:vAlign w:val="bottom"/>
            <w:hideMark/>
          </w:tcPr>
          <w:p w:rsidR="00C90808" w:rsidRPr="005F7B59" w:rsidRDefault="00C90808" w:rsidP="00C90808">
            <w:pPr>
              <w:widowControl/>
              <w:pBdr>
                <w:top w:val="none" w:sz="0" w:space="0" w:color="auto"/>
                <w:left w:val="none" w:sz="0" w:space="0" w:color="auto"/>
                <w:bottom w:val="none" w:sz="0" w:space="0" w:color="auto"/>
                <w:right w:val="none" w:sz="0" w:space="0" w:color="auto"/>
                <w:between w:val="none" w:sz="0" w:space="0" w:color="auto"/>
              </w:pBdr>
            </w:pPr>
          </w:p>
        </w:tc>
        <w:tc>
          <w:tcPr>
            <w:tcW w:w="1134" w:type="dxa"/>
            <w:shd w:val="clear" w:color="auto" w:fill="auto"/>
            <w:noWrap/>
            <w:vAlign w:val="bottom"/>
            <w:hideMark/>
          </w:tcPr>
          <w:p w:rsidR="00C90808" w:rsidRPr="005F7B59" w:rsidRDefault="00C90808" w:rsidP="00C90808">
            <w:pPr>
              <w:widowControl/>
              <w:pBdr>
                <w:top w:val="none" w:sz="0" w:space="0" w:color="auto"/>
                <w:left w:val="none" w:sz="0" w:space="0" w:color="auto"/>
                <w:bottom w:val="none" w:sz="0" w:space="0" w:color="auto"/>
                <w:right w:val="none" w:sz="0" w:space="0" w:color="auto"/>
                <w:between w:val="none" w:sz="0" w:space="0" w:color="auto"/>
              </w:pBdr>
              <w:jc w:val="right"/>
            </w:pPr>
            <w:r w:rsidRPr="005F7B59">
              <w:t>Male</w:t>
            </w:r>
          </w:p>
        </w:tc>
        <w:tc>
          <w:tcPr>
            <w:tcW w:w="1134" w:type="dxa"/>
            <w:shd w:val="clear" w:color="auto" w:fill="auto"/>
            <w:noWrap/>
            <w:vAlign w:val="bottom"/>
            <w:hideMark/>
          </w:tcPr>
          <w:p w:rsidR="00C90808" w:rsidRPr="005F7B59" w:rsidRDefault="00C90808" w:rsidP="00C90808">
            <w:pPr>
              <w:widowControl/>
              <w:pBdr>
                <w:top w:val="none" w:sz="0" w:space="0" w:color="auto"/>
                <w:left w:val="none" w:sz="0" w:space="0" w:color="auto"/>
                <w:bottom w:val="none" w:sz="0" w:space="0" w:color="auto"/>
                <w:right w:val="none" w:sz="0" w:space="0" w:color="auto"/>
                <w:between w:val="none" w:sz="0" w:space="0" w:color="auto"/>
              </w:pBdr>
              <w:jc w:val="right"/>
            </w:pPr>
            <w:r w:rsidRPr="005F7B59">
              <w:t>Female</w:t>
            </w:r>
          </w:p>
        </w:tc>
        <w:tc>
          <w:tcPr>
            <w:tcW w:w="1275" w:type="dxa"/>
            <w:shd w:val="clear" w:color="auto" w:fill="auto"/>
            <w:noWrap/>
            <w:vAlign w:val="bottom"/>
            <w:hideMark/>
          </w:tcPr>
          <w:p w:rsidR="00C90808" w:rsidRPr="005F7B59" w:rsidRDefault="00C90808" w:rsidP="00C90808">
            <w:pPr>
              <w:widowControl/>
              <w:pBdr>
                <w:top w:val="none" w:sz="0" w:space="0" w:color="auto"/>
                <w:left w:val="none" w:sz="0" w:space="0" w:color="auto"/>
                <w:bottom w:val="none" w:sz="0" w:space="0" w:color="auto"/>
                <w:right w:val="none" w:sz="0" w:space="0" w:color="auto"/>
                <w:between w:val="none" w:sz="0" w:space="0" w:color="auto"/>
              </w:pBdr>
              <w:jc w:val="right"/>
            </w:pPr>
            <w:r w:rsidRPr="005F7B59">
              <w:t>Unknown</w:t>
            </w:r>
          </w:p>
        </w:tc>
      </w:tr>
      <w:tr w:rsidR="00C90808" w:rsidRPr="004174F6" w:rsidTr="00C90808">
        <w:trPr>
          <w:trHeight w:val="20"/>
        </w:trPr>
        <w:tc>
          <w:tcPr>
            <w:tcW w:w="1433" w:type="dxa"/>
            <w:vMerge w:val="restart"/>
            <w:shd w:val="clear" w:color="auto" w:fill="auto"/>
            <w:vAlign w:val="bottom"/>
            <w:hideMark/>
          </w:tcPr>
          <w:p w:rsidR="00C90808" w:rsidRPr="005F7B59" w:rsidRDefault="00C90808" w:rsidP="00C90808">
            <w:pPr>
              <w:widowControl/>
              <w:pBdr>
                <w:top w:val="none" w:sz="0" w:space="0" w:color="auto"/>
                <w:left w:val="none" w:sz="0" w:space="0" w:color="auto"/>
                <w:bottom w:val="none" w:sz="0" w:space="0" w:color="auto"/>
                <w:right w:val="none" w:sz="0" w:space="0" w:color="auto"/>
                <w:between w:val="none" w:sz="0" w:space="0" w:color="auto"/>
              </w:pBdr>
            </w:pPr>
            <w:r w:rsidRPr="005F7B59">
              <w:t>Gender in OMOP-VA person table</w:t>
            </w:r>
          </w:p>
        </w:tc>
        <w:tc>
          <w:tcPr>
            <w:tcW w:w="1276" w:type="dxa"/>
            <w:shd w:val="clear" w:color="auto" w:fill="auto"/>
            <w:noWrap/>
            <w:vAlign w:val="bottom"/>
            <w:hideMark/>
          </w:tcPr>
          <w:p w:rsidR="00C90808" w:rsidRPr="005F7B59" w:rsidRDefault="00C90808" w:rsidP="00C90808">
            <w:pPr>
              <w:widowControl/>
              <w:pBdr>
                <w:top w:val="none" w:sz="0" w:space="0" w:color="auto"/>
                <w:left w:val="none" w:sz="0" w:space="0" w:color="auto"/>
                <w:bottom w:val="none" w:sz="0" w:space="0" w:color="auto"/>
                <w:right w:val="none" w:sz="0" w:space="0" w:color="auto"/>
                <w:between w:val="none" w:sz="0" w:space="0" w:color="auto"/>
              </w:pBdr>
            </w:pPr>
            <w:r w:rsidRPr="005F7B59">
              <w:t>Male</w:t>
            </w:r>
          </w:p>
        </w:tc>
        <w:tc>
          <w:tcPr>
            <w:tcW w:w="1134" w:type="dxa"/>
            <w:shd w:val="clear" w:color="auto" w:fill="auto"/>
            <w:noWrap/>
            <w:vAlign w:val="bottom"/>
            <w:hideMark/>
          </w:tcPr>
          <w:p w:rsidR="00C90808" w:rsidRPr="005F7B59" w:rsidRDefault="00C90808" w:rsidP="00C90808">
            <w:pPr>
              <w:widowControl/>
              <w:pBdr>
                <w:top w:val="none" w:sz="0" w:space="0" w:color="auto"/>
                <w:left w:val="none" w:sz="0" w:space="0" w:color="auto"/>
                <w:bottom w:val="none" w:sz="0" w:space="0" w:color="auto"/>
                <w:right w:val="none" w:sz="0" w:space="0" w:color="auto"/>
                <w:between w:val="none" w:sz="0" w:space="0" w:color="auto"/>
              </w:pBdr>
              <w:jc w:val="right"/>
            </w:pPr>
            <w:r w:rsidRPr="005F7B59">
              <w:t>6246548</w:t>
            </w:r>
          </w:p>
        </w:tc>
        <w:tc>
          <w:tcPr>
            <w:tcW w:w="1134" w:type="dxa"/>
            <w:shd w:val="clear" w:color="auto" w:fill="auto"/>
            <w:noWrap/>
            <w:vAlign w:val="bottom"/>
            <w:hideMark/>
          </w:tcPr>
          <w:p w:rsidR="00C90808" w:rsidRPr="005F7B59" w:rsidRDefault="00C90808" w:rsidP="00C90808">
            <w:pPr>
              <w:widowControl/>
              <w:pBdr>
                <w:top w:val="none" w:sz="0" w:space="0" w:color="auto"/>
                <w:left w:val="none" w:sz="0" w:space="0" w:color="auto"/>
                <w:bottom w:val="none" w:sz="0" w:space="0" w:color="auto"/>
                <w:right w:val="none" w:sz="0" w:space="0" w:color="auto"/>
                <w:between w:val="none" w:sz="0" w:space="0" w:color="auto"/>
              </w:pBdr>
              <w:jc w:val="right"/>
            </w:pPr>
            <w:r w:rsidRPr="005F7B59">
              <w:t>33366</w:t>
            </w:r>
          </w:p>
        </w:tc>
        <w:tc>
          <w:tcPr>
            <w:tcW w:w="1275" w:type="dxa"/>
            <w:shd w:val="clear" w:color="auto" w:fill="auto"/>
            <w:noWrap/>
            <w:vAlign w:val="bottom"/>
            <w:hideMark/>
          </w:tcPr>
          <w:p w:rsidR="00C90808" w:rsidRPr="005F7B59" w:rsidRDefault="00C90808" w:rsidP="00C90808">
            <w:pPr>
              <w:widowControl/>
              <w:pBdr>
                <w:top w:val="none" w:sz="0" w:space="0" w:color="auto"/>
                <w:left w:val="none" w:sz="0" w:space="0" w:color="auto"/>
                <w:bottom w:val="none" w:sz="0" w:space="0" w:color="auto"/>
                <w:right w:val="none" w:sz="0" w:space="0" w:color="auto"/>
                <w:between w:val="none" w:sz="0" w:space="0" w:color="auto"/>
              </w:pBdr>
              <w:jc w:val="right"/>
            </w:pPr>
            <w:r w:rsidRPr="005F7B59">
              <w:t>2</w:t>
            </w:r>
          </w:p>
        </w:tc>
      </w:tr>
      <w:tr w:rsidR="00C90808" w:rsidRPr="004174F6" w:rsidTr="00C90808">
        <w:trPr>
          <w:trHeight w:val="20"/>
        </w:trPr>
        <w:tc>
          <w:tcPr>
            <w:tcW w:w="1433" w:type="dxa"/>
            <w:vMerge/>
            <w:vAlign w:val="center"/>
            <w:hideMark/>
          </w:tcPr>
          <w:p w:rsidR="00C90808" w:rsidRPr="005F7B59" w:rsidRDefault="00C90808" w:rsidP="00C90808">
            <w:pPr>
              <w:widowControl/>
              <w:pBdr>
                <w:top w:val="none" w:sz="0" w:space="0" w:color="auto"/>
                <w:left w:val="none" w:sz="0" w:space="0" w:color="auto"/>
                <w:bottom w:val="none" w:sz="0" w:space="0" w:color="auto"/>
                <w:right w:val="none" w:sz="0" w:space="0" w:color="auto"/>
                <w:between w:val="none" w:sz="0" w:space="0" w:color="auto"/>
              </w:pBdr>
            </w:pPr>
          </w:p>
        </w:tc>
        <w:tc>
          <w:tcPr>
            <w:tcW w:w="1276" w:type="dxa"/>
            <w:shd w:val="clear" w:color="auto" w:fill="auto"/>
            <w:noWrap/>
            <w:vAlign w:val="bottom"/>
            <w:hideMark/>
          </w:tcPr>
          <w:p w:rsidR="00C90808" w:rsidRPr="005F7B59" w:rsidRDefault="00C90808" w:rsidP="00C90808">
            <w:pPr>
              <w:widowControl/>
              <w:pBdr>
                <w:top w:val="none" w:sz="0" w:space="0" w:color="auto"/>
                <w:left w:val="none" w:sz="0" w:space="0" w:color="auto"/>
                <w:bottom w:val="none" w:sz="0" w:space="0" w:color="auto"/>
                <w:right w:val="none" w:sz="0" w:space="0" w:color="auto"/>
                <w:between w:val="none" w:sz="0" w:space="0" w:color="auto"/>
              </w:pBdr>
            </w:pPr>
            <w:r w:rsidRPr="005F7B59">
              <w:t>Female</w:t>
            </w:r>
          </w:p>
        </w:tc>
        <w:tc>
          <w:tcPr>
            <w:tcW w:w="1134" w:type="dxa"/>
            <w:shd w:val="clear" w:color="auto" w:fill="auto"/>
            <w:noWrap/>
            <w:vAlign w:val="bottom"/>
            <w:hideMark/>
          </w:tcPr>
          <w:p w:rsidR="00C90808" w:rsidRPr="005F7B59" w:rsidRDefault="00C90808" w:rsidP="00C90808">
            <w:pPr>
              <w:widowControl/>
              <w:pBdr>
                <w:top w:val="none" w:sz="0" w:space="0" w:color="auto"/>
                <w:left w:val="none" w:sz="0" w:space="0" w:color="auto"/>
                <w:bottom w:val="none" w:sz="0" w:space="0" w:color="auto"/>
                <w:right w:val="none" w:sz="0" w:space="0" w:color="auto"/>
                <w:between w:val="none" w:sz="0" w:space="0" w:color="auto"/>
              </w:pBdr>
              <w:jc w:val="right"/>
            </w:pPr>
            <w:r w:rsidRPr="005F7B59">
              <w:t>40132</w:t>
            </w:r>
          </w:p>
        </w:tc>
        <w:tc>
          <w:tcPr>
            <w:tcW w:w="1134" w:type="dxa"/>
            <w:shd w:val="clear" w:color="auto" w:fill="auto"/>
            <w:noWrap/>
            <w:vAlign w:val="bottom"/>
            <w:hideMark/>
          </w:tcPr>
          <w:p w:rsidR="00C90808" w:rsidRPr="005F7B59" w:rsidRDefault="00C90808" w:rsidP="00C90808">
            <w:pPr>
              <w:widowControl/>
              <w:pBdr>
                <w:top w:val="none" w:sz="0" w:space="0" w:color="auto"/>
                <w:left w:val="none" w:sz="0" w:space="0" w:color="auto"/>
                <w:bottom w:val="none" w:sz="0" w:space="0" w:color="auto"/>
                <w:right w:val="none" w:sz="0" w:space="0" w:color="auto"/>
                <w:between w:val="none" w:sz="0" w:space="0" w:color="auto"/>
              </w:pBdr>
              <w:jc w:val="right"/>
            </w:pPr>
            <w:r w:rsidRPr="005F7B59">
              <w:t>627399</w:t>
            </w:r>
          </w:p>
        </w:tc>
        <w:tc>
          <w:tcPr>
            <w:tcW w:w="1275" w:type="dxa"/>
            <w:shd w:val="clear" w:color="auto" w:fill="auto"/>
            <w:noWrap/>
            <w:vAlign w:val="bottom"/>
            <w:hideMark/>
          </w:tcPr>
          <w:p w:rsidR="00C90808" w:rsidRPr="005F7B59" w:rsidRDefault="00C90808" w:rsidP="00C90808">
            <w:pPr>
              <w:widowControl/>
              <w:pBdr>
                <w:top w:val="none" w:sz="0" w:space="0" w:color="auto"/>
                <w:left w:val="none" w:sz="0" w:space="0" w:color="auto"/>
                <w:bottom w:val="none" w:sz="0" w:space="0" w:color="auto"/>
                <w:right w:val="none" w:sz="0" w:space="0" w:color="auto"/>
                <w:between w:val="none" w:sz="0" w:space="0" w:color="auto"/>
              </w:pBdr>
              <w:jc w:val="right"/>
            </w:pPr>
            <w:r w:rsidRPr="005F7B59">
              <w:t>1</w:t>
            </w:r>
          </w:p>
        </w:tc>
      </w:tr>
      <w:tr w:rsidR="00C90808" w:rsidRPr="004174F6" w:rsidTr="00C90808">
        <w:trPr>
          <w:trHeight w:val="20"/>
        </w:trPr>
        <w:tc>
          <w:tcPr>
            <w:tcW w:w="1433" w:type="dxa"/>
            <w:vMerge/>
            <w:vAlign w:val="center"/>
            <w:hideMark/>
          </w:tcPr>
          <w:p w:rsidR="00C90808" w:rsidRPr="005F7B59" w:rsidRDefault="00C90808" w:rsidP="00C90808">
            <w:pPr>
              <w:widowControl/>
              <w:pBdr>
                <w:top w:val="none" w:sz="0" w:space="0" w:color="auto"/>
                <w:left w:val="none" w:sz="0" w:space="0" w:color="auto"/>
                <w:bottom w:val="none" w:sz="0" w:space="0" w:color="auto"/>
                <w:right w:val="none" w:sz="0" w:space="0" w:color="auto"/>
                <w:between w:val="none" w:sz="0" w:space="0" w:color="auto"/>
              </w:pBdr>
            </w:pPr>
          </w:p>
        </w:tc>
        <w:tc>
          <w:tcPr>
            <w:tcW w:w="1276" w:type="dxa"/>
            <w:shd w:val="clear" w:color="auto" w:fill="auto"/>
            <w:noWrap/>
            <w:vAlign w:val="bottom"/>
            <w:hideMark/>
          </w:tcPr>
          <w:p w:rsidR="00C90808" w:rsidRPr="005F7B59" w:rsidRDefault="00C90808" w:rsidP="00C90808">
            <w:pPr>
              <w:widowControl/>
              <w:pBdr>
                <w:top w:val="none" w:sz="0" w:space="0" w:color="auto"/>
                <w:left w:val="none" w:sz="0" w:space="0" w:color="auto"/>
                <w:bottom w:val="none" w:sz="0" w:space="0" w:color="auto"/>
                <w:right w:val="none" w:sz="0" w:space="0" w:color="auto"/>
                <w:between w:val="none" w:sz="0" w:space="0" w:color="auto"/>
              </w:pBdr>
            </w:pPr>
            <w:r w:rsidRPr="005F7B59">
              <w:t>Unknown</w:t>
            </w:r>
          </w:p>
        </w:tc>
        <w:tc>
          <w:tcPr>
            <w:tcW w:w="1134" w:type="dxa"/>
            <w:shd w:val="clear" w:color="auto" w:fill="auto"/>
            <w:noWrap/>
            <w:vAlign w:val="bottom"/>
            <w:hideMark/>
          </w:tcPr>
          <w:p w:rsidR="00C90808" w:rsidRPr="005F7B59" w:rsidRDefault="00C90808" w:rsidP="00C90808">
            <w:pPr>
              <w:widowControl/>
              <w:pBdr>
                <w:top w:val="none" w:sz="0" w:space="0" w:color="auto"/>
                <w:left w:val="none" w:sz="0" w:space="0" w:color="auto"/>
                <w:bottom w:val="none" w:sz="0" w:space="0" w:color="auto"/>
                <w:right w:val="none" w:sz="0" w:space="0" w:color="auto"/>
                <w:between w:val="none" w:sz="0" w:space="0" w:color="auto"/>
              </w:pBdr>
              <w:jc w:val="right"/>
            </w:pPr>
            <w:r w:rsidRPr="005F7B59">
              <w:t>3906</w:t>
            </w:r>
          </w:p>
        </w:tc>
        <w:tc>
          <w:tcPr>
            <w:tcW w:w="1134" w:type="dxa"/>
            <w:shd w:val="clear" w:color="auto" w:fill="auto"/>
            <w:noWrap/>
            <w:vAlign w:val="bottom"/>
            <w:hideMark/>
          </w:tcPr>
          <w:p w:rsidR="00C90808" w:rsidRPr="005F7B59" w:rsidRDefault="00C90808" w:rsidP="00C90808">
            <w:pPr>
              <w:widowControl/>
              <w:pBdr>
                <w:top w:val="none" w:sz="0" w:space="0" w:color="auto"/>
                <w:left w:val="none" w:sz="0" w:space="0" w:color="auto"/>
                <w:bottom w:val="none" w:sz="0" w:space="0" w:color="auto"/>
                <w:right w:val="none" w:sz="0" w:space="0" w:color="auto"/>
                <w:between w:val="none" w:sz="0" w:space="0" w:color="auto"/>
              </w:pBdr>
              <w:jc w:val="right"/>
            </w:pPr>
            <w:r w:rsidRPr="005F7B59">
              <w:t>1273</w:t>
            </w:r>
          </w:p>
        </w:tc>
        <w:tc>
          <w:tcPr>
            <w:tcW w:w="1275" w:type="dxa"/>
            <w:shd w:val="clear" w:color="auto" w:fill="auto"/>
            <w:noWrap/>
            <w:vAlign w:val="bottom"/>
            <w:hideMark/>
          </w:tcPr>
          <w:p w:rsidR="00C90808" w:rsidRPr="005F7B59" w:rsidRDefault="00C90808" w:rsidP="00C90808">
            <w:pPr>
              <w:widowControl/>
              <w:pBdr>
                <w:top w:val="none" w:sz="0" w:space="0" w:color="auto"/>
                <w:left w:val="none" w:sz="0" w:space="0" w:color="auto"/>
                <w:bottom w:val="none" w:sz="0" w:space="0" w:color="auto"/>
                <w:right w:val="none" w:sz="0" w:space="0" w:color="auto"/>
                <w:between w:val="none" w:sz="0" w:space="0" w:color="auto"/>
              </w:pBdr>
              <w:jc w:val="right"/>
            </w:pPr>
            <w:r w:rsidRPr="005F7B59">
              <w:t>0</w:t>
            </w:r>
          </w:p>
        </w:tc>
      </w:tr>
    </w:tbl>
    <w:p w:rsidR="00C24998" w:rsidRDefault="00F43EBF" w:rsidP="00F43EBF">
      <w:pPr>
        <w:spacing w:after="120"/>
        <w:jc w:val="both"/>
      </w:pPr>
      <w:r>
        <w:t>Gender matched 98.87% across the two datasets (</w:t>
      </w:r>
      <w:r w:rsidRPr="004B1144">
        <w:rPr>
          <w:b/>
        </w:rPr>
        <w:t>Table 1</w:t>
      </w:r>
      <w:r>
        <w:t>).</w:t>
      </w:r>
      <w:r w:rsidR="00F443F9">
        <w:t xml:space="preserve"> </w:t>
      </w:r>
      <w:r>
        <w:t>T</w:t>
      </w:r>
      <w:r w:rsidR="00E215FB">
        <w:t>hree patients in OMOP-</w:t>
      </w:r>
      <w:r w:rsidR="00B84A9A">
        <w:t xml:space="preserve">CMS </w:t>
      </w:r>
      <w:r>
        <w:t>had missing gender and a</w:t>
      </w:r>
      <w:r w:rsidR="00273D3C">
        <w:t xml:space="preserve"> non-missing gender </w:t>
      </w:r>
      <w:r>
        <w:t xml:space="preserve">value </w:t>
      </w:r>
      <w:r w:rsidR="00273D3C">
        <w:t xml:space="preserve">in </w:t>
      </w:r>
      <w:r w:rsidR="00E215FB">
        <w:t>OMOP-</w:t>
      </w:r>
      <w:r w:rsidR="00B84A9A">
        <w:t xml:space="preserve">VA. </w:t>
      </w:r>
      <w:r>
        <w:t>Over 5,179</w:t>
      </w:r>
      <w:r w:rsidR="00E215FB">
        <w:t xml:space="preserve"> patients </w:t>
      </w:r>
      <w:r>
        <w:t>with</w:t>
      </w:r>
      <w:r w:rsidR="00E215FB">
        <w:t xml:space="preserve"> missing </w:t>
      </w:r>
      <w:r w:rsidR="00273D3C">
        <w:t xml:space="preserve">gender in OMOP-VA </w:t>
      </w:r>
      <w:r>
        <w:t xml:space="preserve">had </w:t>
      </w:r>
      <w:r w:rsidR="00273D3C">
        <w:t xml:space="preserve">non-missing </w:t>
      </w:r>
      <w:r>
        <w:t xml:space="preserve">value </w:t>
      </w:r>
      <w:r w:rsidR="00273D3C">
        <w:t xml:space="preserve">in </w:t>
      </w:r>
      <w:r w:rsidR="00E215FB">
        <w:t>OMOP-CMS</w:t>
      </w:r>
      <w:r w:rsidR="00B84A9A">
        <w:t xml:space="preserve">. </w:t>
      </w:r>
    </w:p>
    <w:p w:rsidR="00E70DA9" w:rsidRDefault="00F43EBF" w:rsidP="00F43EBF">
      <w:pPr>
        <w:spacing w:before="120" w:after="120"/>
        <w:jc w:val="both"/>
      </w:pPr>
      <w:r>
        <w:t xml:space="preserve">Unknown race was the most common result in the VA dataset (51.5%). Unknown race may arise if the individual refuses to identify their race, if race is missing or if conflicting race values could not be resolved. This high rate of unknown race caused the lack </w:t>
      </w:r>
      <w:r w:rsidR="000B6A48">
        <w:t xml:space="preserve">of consistency (48.14%) </w:t>
      </w:r>
      <w:r>
        <w:t>observed for race between the two datasets (</w:t>
      </w:r>
      <w:r w:rsidR="000B6A48" w:rsidRPr="004B1144">
        <w:rPr>
          <w:b/>
        </w:rPr>
        <w:t>Table 2</w:t>
      </w:r>
      <w:r>
        <w:t>).</w:t>
      </w:r>
      <w:r w:rsidR="000B6A48">
        <w:t xml:space="preserve"> </w:t>
      </w:r>
      <w:r w:rsidR="00B2448D">
        <w:t xml:space="preserve">About 3.4 million patients with missing or unknown race in OMOP-VA were not missing race in OMOP-CMS. Specifically, almost </w:t>
      </w:r>
      <w:r w:rsidR="002A4A7F">
        <w:t xml:space="preserve">3 million patients </w:t>
      </w:r>
      <w:r w:rsidR="00B2448D">
        <w:t>race</w:t>
      </w:r>
      <w:r w:rsidR="002A4A7F">
        <w:t xml:space="preserve"> </w:t>
      </w:r>
      <w:r w:rsidR="00B2448D">
        <w:t xml:space="preserve">were </w:t>
      </w:r>
      <w:r w:rsidR="002A4A7F">
        <w:t xml:space="preserve">identified as white in </w:t>
      </w:r>
      <w:r w:rsidR="000B6A48">
        <w:t>OMOP-CMS</w:t>
      </w:r>
      <w:r w:rsidR="002A4A7F">
        <w:t xml:space="preserve"> data, </w:t>
      </w:r>
      <w:r w:rsidR="00B2448D">
        <w:t xml:space="preserve">doubling those identified as white in the VA dataset. </w:t>
      </w:r>
      <w:r w:rsidR="000E2C79">
        <w:t xml:space="preserve">On the other side, 163,640 patients with unknown race in </w:t>
      </w:r>
      <w:r w:rsidR="000B6A48">
        <w:t>OMOP-CMS could be found in OMOP-</w:t>
      </w:r>
      <w:r w:rsidR="000E2C79">
        <w:t>VA.</w:t>
      </w:r>
      <w:r w:rsidR="00242F13">
        <w:t xml:space="preserve"> </w:t>
      </w:r>
      <w:r w:rsidR="00B2448D">
        <w:t>T</w:t>
      </w:r>
      <w:r w:rsidR="00242F13">
        <w:t>hese two sources put together could be used to assign a race to all but 184,608 members of the cohort</w:t>
      </w:r>
      <w:r w:rsidR="00B2448D">
        <w:t>, assuming resolution of conflicting race values between the two datasets</w:t>
      </w:r>
      <w:r w:rsidR="00242F13">
        <w:t>.</w:t>
      </w:r>
      <w:r w:rsidR="000E2C79">
        <w:t xml:space="preserve"> </w:t>
      </w:r>
    </w:p>
    <w:p w:rsidR="002B6006" w:rsidRDefault="002B6006" w:rsidP="00F43EBF">
      <w:pPr>
        <w:spacing w:before="120"/>
        <w:jc w:val="both"/>
      </w:pPr>
      <w:r>
        <w:rPr>
          <w:b/>
        </w:rPr>
        <w:t>Table 2</w:t>
      </w:r>
      <w:r w:rsidR="00CE69CE">
        <w:rPr>
          <w:b/>
        </w:rPr>
        <w:t xml:space="preserve">. </w:t>
      </w:r>
      <w:r w:rsidR="0090540E">
        <w:t>Consistency of race</w:t>
      </w:r>
      <w:r w:rsidR="00840972">
        <w:t xml:space="preserve"> in OMOP-VA and OMOP-</w:t>
      </w:r>
      <w:r w:rsidR="00B75FFA">
        <w:t>CMS person table</w:t>
      </w:r>
    </w:p>
    <w:tbl>
      <w:tblPr>
        <w:tblW w:w="92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720"/>
        <w:gridCol w:w="1107"/>
        <w:gridCol w:w="1600"/>
        <w:gridCol w:w="860"/>
        <w:gridCol w:w="1720"/>
        <w:gridCol w:w="1078"/>
      </w:tblGrid>
      <w:tr w:rsidR="00032520" w:rsidRPr="002B6006" w:rsidTr="00B8588C">
        <w:trPr>
          <w:trHeight w:val="20"/>
        </w:trPr>
        <w:tc>
          <w:tcPr>
            <w:tcW w:w="2891" w:type="dxa"/>
            <w:gridSpan w:val="2"/>
            <w:vMerge w:val="restart"/>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pPr>
          </w:p>
        </w:tc>
        <w:tc>
          <w:tcPr>
            <w:tcW w:w="6365" w:type="dxa"/>
            <w:gridSpan w:val="5"/>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center"/>
            </w:pPr>
            <w:r w:rsidRPr="005F7B59">
              <w:t xml:space="preserve">Race in </w:t>
            </w:r>
            <w:r w:rsidR="00840972" w:rsidRPr="005F7B59">
              <w:t>OMOP-</w:t>
            </w:r>
            <w:r w:rsidRPr="005F7B59">
              <w:t>CMS person table</w:t>
            </w:r>
          </w:p>
        </w:tc>
      </w:tr>
      <w:tr w:rsidR="00032520" w:rsidRPr="002B6006" w:rsidTr="00B8588C">
        <w:trPr>
          <w:trHeight w:val="20"/>
        </w:trPr>
        <w:tc>
          <w:tcPr>
            <w:tcW w:w="2891" w:type="dxa"/>
            <w:gridSpan w:val="2"/>
            <w:vMerge/>
            <w:shd w:val="clear" w:color="auto" w:fill="auto"/>
            <w:vAlign w:val="center"/>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pPr>
          </w:p>
        </w:tc>
        <w:tc>
          <w:tcPr>
            <w:tcW w:w="1107" w:type="dxa"/>
            <w:shd w:val="clear" w:color="auto" w:fill="auto"/>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White</w:t>
            </w:r>
          </w:p>
        </w:tc>
        <w:tc>
          <w:tcPr>
            <w:tcW w:w="1600" w:type="dxa"/>
            <w:shd w:val="clear" w:color="auto" w:fill="auto"/>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Black or African American</w:t>
            </w:r>
          </w:p>
        </w:tc>
        <w:tc>
          <w:tcPr>
            <w:tcW w:w="860" w:type="dxa"/>
            <w:shd w:val="clear" w:color="auto" w:fill="auto"/>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Asian</w:t>
            </w:r>
          </w:p>
        </w:tc>
        <w:tc>
          <w:tcPr>
            <w:tcW w:w="1720" w:type="dxa"/>
            <w:shd w:val="clear" w:color="auto" w:fill="auto"/>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American Indian or Alaska Native</w:t>
            </w:r>
          </w:p>
        </w:tc>
        <w:tc>
          <w:tcPr>
            <w:tcW w:w="1078" w:type="dxa"/>
            <w:shd w:val="clear" w:color="auto" w:fill="auto"/>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Unknown</w:t>
            </w:r>
          </w:p>
        </w:tc>
      </w:tr>
      <w:tr w:rsidR="00032520" w:rsidRPr="002B6006" w:rsidTr="00B8588C">
        <w:trPr>
          <w:trHeight w:val="20"/>
        </w:trPr>
        <w:tc>
          <w:tcPr>
            <w:tcW w:w="1171" w:type="dxa"/>
            <w:vMerge w:val="restart"/>
            <w:shd w:val="clear" w:color="auto" w:fill="auto"/>
            <w:vAlign w:val="center"/>
            <w:hideMark/>
          </w:tcPr>
          <w:p w:rsidR="00032520" w:rsidRPr="005F7B59" w:rsidRDefault="00840972" w:rsidP="002B6006">
            <w:pPr>
              <w:widowControl/>
              <w:pBdr>
                <w:top w:val="none" w:sz="0" w:space="0" w:color="auto"/>
                <w:left w:val="none" w:sz="0" w:space="0" w:color="auto"/>
                <w:bottom w:val="none" w:sz="0" w:space="0" w:color="auto"/>
                <w:right w:val="none" w:sz="0" w:space="0" w:color="auto"/>
                <w:between w:val="none" w:sz="0" w:space="0" w:color="auto"/>
              </w:pBdr>
            </w:pPr>
            <w:r w:rsidRPr="005F7B59">
              <w:t>Race in OMOP-</w:t>
            </w:r>
            <w:r w:rsidR="00032520" w:rsidRPr="005F7B59">
              <w:t>VA person table</w:t>
            </w:r>
          </w:p>
        </w:tc>
        <w:tc>
          <w:tcPr>
            <w:tcW w:w="1720" w:type="dxa"/>
            <w:shd w:val="clear" w:color="auto" w:fill="auto"/>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pPr>
            <w:r w:rsidRPr="005F7B59">
              <w:t>White</w:t>
            </w:r>
          </w:p>
        </w:tc>
        <w:tc>
          <w:tcPr>
            <w:tcW w:w="1107"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2,788,832</w:t>
            </w:r>
          </w:p>
        </w:tc>
        <w:tc>
          <w:tcPr>
            <w:tcW w:w="1600"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12,249</w:t>
            </w:r>
          </w:p>
        </w:tc>
        <w:tc>
          <w:tcPr>
            <w:tcW w:w="860"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4,649</w:t>
            </w:r>
          </w:p>
        </w:tc>
        <w:tc>
          <w:tcPr>
            <w:tcW w:w="1720"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6,150</w:t>
            </w:r>
          </w:p>
        </w:tc>
        <w:tc>
          <w:tcPr>
            <w:tcW w:w="1078"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146,095</w:t>
            </w:r>
          </w:p>
        </w:tc>
      </w:tr>
      <w:tr w:rsidR="00032520" w:rsidRPr="002B6006" w:rsidTr="00B8588C">
        <w:trPr>
          <w:trHeight w:val="20"/>
        </w:trPr>
        <w:tc>
          <w:tcPr>
            <w:tcW w:w="1171" w:type="dxa"/>
            <w:vMerge/>
            <w:shd w:val="clear" w:color="auto" w:fill="auto"/>
            <w:vAlign w:val="center"/>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pPr>
          </w:p>
        </w:tc>
        <w:tc>
          <w:tcPr>
            <w:tcW w:w="1720" w:type="dxa"/>
            <w:shd w:val="clear" w:color="auto" w:fill="auto"/>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pPr>
            <w:r w:rsidRPr="005F7B59">
              <w:t>Black or African American</w:t>
            </w:r>
          </w:p>
        </w:tc>
        <w:tc>
          <w:tcPr>
            <w:tcW w:w="1107"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9,116</w:t>
            </w:r>
          </w:p>
        </w:tc>
        <w:tc>
          <w:tcPr>
            <w:tcW w:w="1600"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350,637</w:t>
            </w:r>
          </w:p>
        </w:tc>
        <w:tc>
          <w:tcPr>
            <w:tcW w:w="860"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314</w:t>
            </w:r>
          </w:p>
        </w:tc>
        <w:tc>
          <w:tcPr>
            <w:tcW w:w="1720"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318</w:t>
            </w:r>
          </w:p>
        </w:tc>
        <w:tc>
          <w:tcPr>
            <w:tcW w:w="1078"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7832</w:t>
            </w:r>
          </w:p>
        </w:tc>
      </w:tr>
      <w:tr w:rsidR="00032520" w:rsidRPr="002B6006" w:rsidTr="00B8588C">
        <w:trPr>
          <w:trHeight w:val="20"/>
        </w:trPr>
        <w:tc>
          <w:tcPr>
            <w:tcW w:w="1171" w:type="dxa"/>
            <w:vMerge/>
            <w:shd w:val="clear" w:color="auto" w:fill="auto"/>
            <w:vAlign w:val="center"/>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pPr>
          </w:p>
        </w:tc>
        <w:tc>
          <w:tcPr>
            <w:tcW w:w="1720" w:type="dxa"/>
            <w:shd w:val="clear" w:color="auto" w:fill="auto"/>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pPr>
            <w:r w:rsidRPr="005F7B59">
              <w:t>Asian</w:t>
            </w:r>
          </w:p>
        </w:tc>
        <w:tc>
          <w:tcPr>
            <w:tcW w:w="1107"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1,367</w:t>
            </w:r>
          </w:p>
        </w:tc>
        <w:tc>
          <w:tcPr>
            <w:tcW w:w="1600"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142</w:t>
            </w:r>
          </w:p>
        </w:tc>
        <w:tc>
          <w:tcPr>
            <w:tcW w:w="860"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13,680</w:t>
            </w:r>
          </w:p>
        </w:tc>
        <w:tc>
          <w:tcPr>
            <w:tcW w:w="1720"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29</w:t>
            </w:r>
          </w:p>
        </w:tc>
        <w:tc>
          <w:tcPr>
            <w:tcW w:w="1078"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6,964</w:t>
            </w:r>
          </w:p>
        </w:tc>
      </w:tr>
      <w:tr w:rsidR="00032520" w:rsidRPr="002B6006" w:rsidTr="00B8588C">
        <w:trPr>
          <w:trHeight w:val="20"/>
        </w:trPr>
        <w:tc>
          <w:tcPr>
            <w:tcW w:w="1171" w:type="dxa"/>
            <w:vMerge/>
            <w:shd w:val="clear" w:color="auto" w:fill="auto"/>
            <w:vAlign w:val="center"/>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pPr>
          </w:p>
        </w:tc>
        <w:tc>
          <w:tcPr>
            <w:tcW w:w="1720" w:type="dxa"/>
            <w:shd w:val="clear" w:color="auto" w:fill="auto"/>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pPr>
            <w:r w:rsidRPr="005F7B59">
              <w:t>American Indian or Alaska Native</w:t>
            </w:r>
          </w:p>
        </w:tc>
        <w:tc>
          <w:tcPr>
            <w:tcW w:w="1107"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13,197</w:t>
            </w:r>
          </w:p>
        </w:tc>
        <w:tc>
          <w:tcPr>
            <w:tcW w:w="1600"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1,368</w:t>
            </w:r>
          </w:p>
        </w:tc>
        <w:tc>
          <w:tcPr>
            <w:tcW w:w="860"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106</w:t>
            </w:r>
          </w:p>
        </w:tc>
        <w:tc>
          <w:tcPr>
            <w:tcW w:w="1720"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9,250</w:t>
            </w:r>
          </w:p>
        </w:tc>
        <w:tc>
          <w:tcPr>
            <w:tcW w:w="1078"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2,749</w:t>
            </w:r>
          </w:p>
        </w:tc>
      </w:tr>
      <w:tr w:rsidR="00032520" w:rsidRPr="002B6006" w:rsidTr="00B8588C">
        <w:trPr>
          <w:trHeight w:val="20"/>
        </w:trPr>
        <w:tc>
          <w:tcPr>
            <w:tcW w:w="1171" w:type="dxa"/>
            <w:vMerge/>
            <w:shd w:val="clear" w:color="auto" w:fill="auto"/>
            <w:vAlign w:val="center"/>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pPr>
          </w:p>
        </w:tc>
        <w:tc>
          <w:tcPr>
            <w:tcW w:w="1720" w:type="dxa"/>
            <w:shd w:val="clear" w:color="auto" w:fill="auto"/>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pPr>
            <w:r w:rsidRPr="005F7B59">
              <w:t>Unknown</w:t>
            </w:r>
          </w:p>
        </w:tc>
        <w:tc>
          <w:tcPr>
            <w:tcW w:w="1107"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2,958,531</w:t>
            </w:r>
          </w:p>
        </w:tc>
        <w:tc>
          <w:tcPr>
            <w:tcW w:w="1600"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378,929</w:t>
            </w:r>
          </w:p>
        </w:tc>
        <w:tc>
          <w:tcPr>
            <w:tcW w:w="860"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34,416</w:t>
            </w:r>
          </w:p>
        </w:tc>
        <w:tc>
          <w:tcPr>
            <w:tcW w:w="1720"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21,099</w:t>
            </w:r>
          </w:p>
        </w:tc>
        <w:tc>
          <w:tcPr>
            <w:tcW w:w="1078" w:type="dxa"/>
            <w:shd w:val="clear" w:color="auto" w:fill="auto"/>
            <w:noWrap/>
            <w:vAlign w:val="bottom"/>
            <w:hideMark/>
          </w:tcPr>
          <w:p w:rsidR="00032520" w:rsidRPr="005F7B59" w:rsidRDefault="00032520" w:rsidP="002B6006">
            <w:pPr>
              <w:widowControl/>
              <w:pBdr>
                <w:top w:val="none" w:sz="0" w:space="0" w:color="auto"/>
                <w:left w:val="none" w:sz="0" w:space="0" w:color="auto"/>
                <w:bottom w:val="none" w:sz="0" w:space="0" w:color="auto"/>
                <w:right w:val="none" w:sz="0" w:space="0" w:color="auto"/>
                <w:between w:val="none" w:sz="0" w:space="0" w:color="auto"/>
              </w:pBdr>
              <w:jc w:val="right"/>
            </w:pPr>
            <w:r w:rsidRPr="005F7B59">
              <w:t>184,608</w:t>
            </w:r>
          </w:p>
        </w:tc>
      </w:tr>
    </w:tbl>
    <w:p w:rsidR="00305F53" w:rsidRDefault="00CE69CE" w:rsidP="008671E9">
      <w:pPr>
        <w:spacing w:before="100" w:beforeAutospacing="1" w:after="120"/>
        <w:jc w:val="both"/>
      </w:pPr>
      <w:bookmarkStart w:id="1" w:name="_gjdgxs" w:colFirst="0" w:colLast="0"/>
      <w:bookmarkEnd w:id="1"/>
      <w:r>
        <w:rPr>
          <w:b/>
        </w:rPr>
        <w:t>Conclusion</w:t>
      </w:r>
      <w:r w:rsidR="00AD48D8">
        <w:rPr>
          <w:b/>
        </w:rPr>
        <w:t xml:space="preserve">: </w:t>
      </w:r>
      <w:r w:rsidR="00014BD7">
        <w:t xml:space="preserve">This study </w:t>
      </w:r>
      <w:r w:rsidR="00B2448D">
        <w:t>found</w:t>
      </w:r>
      <w:r w:rsidR="004642FD">
        <w:t xml:space="preserve"> high consistency for gender and DOB between two OMOP CDMs</w:t>
      </w:r>
      <w:r w:rsidR="00B2448D">
        <w:t>.</w:t>
      </w:r>
      <w:r w:rsidR="004642FD">
        <w:t xml:space="preserve"> </w:t>
      </w:r>
      <w:r w:rsidR="00B2448D">
        <w:t>L</w:t>
      </w:r>
      <w:r w:rsidR="004642FD">
        <w:t xml:space="preserve">ow consistency for race </w:t>
      </w:r>
      <w:r w:rsidR="00B2448D">
        <w:t>occurred due</w:t>
      </w:r>
      <w:r w:rsidR="004642FD">
        <w:t xml:space="preserve"> to the high portion of </w:t>
      </w:r>
      <w:r w:rsidR="00B2448D">
        <w:t>unknown race</w:t>
      </w:r>
      <w:r w:rsidR="004642FD">
        <w:t xml:space="preserve"> in VA </w:t>
      </w:r>
      <w:r w:rsidR="00B2448D">
        <w:t>data. Race data from CMS could reduce the missing</w:t>
      </w:r>
      <w:r w:rsidR="00D63487">
        <w:t xml:space="preserve"> VA</w:t>
      </w:r>
      <w:r w:rsidR="00B2448D">
        <w:t xml:space="preserve"> race data by over 50%</w:t>
      </w:r>
      <w:r w:rsidR="00D63487">
        <w:t xml:space="preserve">. </w:t>
      </w:r>
      <w:r w:rsidR="00B2448D">
        <w:t xml:space="preserve"> </w:t>
      </w:r>
      <w:r w:rsidR="00D63487">
        <w:t xml:space="preserve">We showed a potential improvement in demographic data accuracy above existing cleaning algorithms by comparing and combining the </w:t>
      </w:r>
      <w:r w:rsidR="00014BD7">
        <w:t>OMOP-VA and OMOP-</w:t>
      </w:r>
      <w:r w:rsidR="004642FD">
        <w:t>CMS</w:t>
      </w:r>
      <w:r w:rsidR="00D63487">
        <w:t xml:space="preserve"> datasets</w:t>
      </w:r>
      <w:r w:rsidR="004642FD">
        <w:t xml:space="preserve">. </w:t>
      </w:r>
    </w:p>
    <w:p w:rsidR="00E70DA9" w:rsidRDefault="00305F53">
      <w:pPr>
        <w:spacing w:after="120"/>
        <w:jc w:val="both"/>
      </w:pPr>
      <w:r w:rsidRPr="00EF57D6">
        <w:rPr>
          <w:b/>
        </w:rPr>
        <w:t xml:space="preserve">Financial Support: </w:t>
      </w:r>
      <w:r>
        <w:t>This study’s work supported with resources and the use of facilities at the TVHS and Salt Lake VA, and is funded by VA HSR&amp;D VINCI</w:t>
      </w:r>
      <w:r w:rsidR="00CC4791">
        <w:t xml:space="preserve">.  </w:t>
      </w:r>
      <w:r w:rsidR="00CC4791">
        <w:rPr>
          <w:color w:val="auto"/>
        </w:rPr>
        <w:t>Support for VA/CMS Data provided by VA HSR&amp;D, VA Information Resource Center (Project Numbers SDR 02-237 and 98-004).</w:t>
      </w:r>
    </w:p>
    <w:p w:rsidR="00E70DA9" w:rsidRDefault="00CE69CE" w:rsidP="008671E9">
      <w:pPr>
        <w:keepNext/>
        <w:spacing w:before="120"/>
        <w:jc w:val="center"/>
        <w:rPr>
          <w:b/>
        </w:rPr>
      </w:pPr>
      <w:r>
        <w:rPr>
          <w:b/>
        </w:rPr>
        <w:t>References</w:t>
      </w:r>
    </w:p>
    <w:p w:rsidR="00E70DA9" w:rsidRDefault="001528F4">
      <w:pPr>
        <w:numPr>
          <w:ilvl w:val="0"/>
          <w:numId w:val="1"/>
        </w:numPr>
        <w:jc w:val="both"/>
      </w:pPr>
      <w:r>
        <w:t>Kevin T.</w:t>
      </w:r>
      <w:r w:rsidR="00A14D29">
        <w:t xml:space="preserve"> </w:t>
      </w:r>
      <w:proofErr w:type="spellStart"/>
      <w:r>
        <w:t>Stroupe</w:t>
      </w:r>
      <w:proofErr w:type="spellEnd"/>
      <w:r>
        <w:t xml:space="preserve">, Elizabeth </w:t>
      </w:r>
      <w:proofErr w:type="spellStart"/>
      <w:r>
        <w:t>Tarlov</w:t>
      </w:r>
      <w:proofErr w:type="spellEnd"/>
      <w:r>
        <w:t xml:space="preserve">, </w:t>
      </w:r>
      <w:proofErr w:type="spellStart"/>
      <w:r>
        <w:t>Qiuying</w:t>
      </w:r>
      <w:proofErr w:type="spellEnd"/>
      <w:r>
        <w:t xml:space="preserve"> Zhang, Thomas Haywood, </w:t>
      </w:r>
      <w:proofErr w:type="spellStart"/>
      <w:r>
        <w:t>Arika</w:t>
      </w:r>
      <w:proofErr w:type="spellEnd"/>
      <w:r>
        <w:t xml:space="preserve"> Owens, Denise M. Hynes, Use of Medicare and DOD data for</w:t>
      </w:r>
      <w:r w:rsidR="00305F53">
        <w:t xml:space="preserve"> improving VA race data quality, Journal of Rehabilitation Research &amp; Development, Vol 47 (8), Page 781-796, 2010</w:t>
      </w:r>
    </w:p>
    <w:p w:rsidR="00305F53" w:rsidRPr="00A14D29" w:rsidRDefault="00305F53" w:rsidP="00F907E1">
      <w:pPr>
        <w:pStyle w:val="ListParagraph"/>
        <w:numPr>
          <w:ilvl w:val="0"/>
          <w:numId w:val="1"/>
        </w:numPr>
      </w:pPr>
      <w:r w:rsidRPr="00A14D29">
        <w:t>Data quality analysis team, CDW race data and multiple races</w:t>
      </w:r>
      <w:r w:rsidR="00F907E1" w:rsidRPr="00A14D29">
        <w:t xml:space="preserve">, </w:t>
      </w:r>
      <w:hyperlink r:id="rId8" w:history="1">
        <w:r w:rsidR="00C90808" w:rsidRPr="007B05A8">
          <w:rPr>
            <w:rStyle w:val="Hyperlink"/>
          </w:rPr>
          <w:t>http://vaww.vhadataportal.med.va.gov/Portals/0/DataQualityProgram/Reports/CDW_Race_Data_and_Multiple_Races.pdf</w:t>
        </w:r>
      </w:hyperlink>
    </w:p>
    <w:p w:rsidR="00A14D29" w:rsidRPr="00A14D29" w:rsidRDefault="00A14D29" w:rsidP="00A14D29">
      <w:pPr>
        <w:pStyle w:val="ListParagraph"/>
        <w:numPr>
          <w:ilvl w:val="0"/>
          <w:numId w:val="1"/>
        </w:numPr>
      </w:pPr>
      <w:r w:rsidRPr="00A14D29">
        <w:t xml:space="preserve">Gonsoulin, Margaret. Using SQL to “Sort Out” Race in CDW: A method for cleaning multiple values of race. The Researcher’s Notebook; no. 6. Hines, IL: VA Information Resource Center; 2016. </w:t>
      </w:r>
      <w:hyperlink r:id="rId9" w:tgtFrame="_blank" w:history="1">
        <w:r w:rsidRPr="00A14D29">
          <w:rPr>
            <w:rStyle w:val="Hyperlink"/>
          </w:rPr>
          <w:t>http://vaww.virec.research.va.gov/Notebook/RNB/RNB6-CDW-SQL-to-Sort-Out-Race-CY16.pdf</w:t>
        </w:r>
      </w:hyperlink>
    </w:p>
    <w:p w:rsidR="00F907E1" w:rsidRPr="00326FAF" w:rsidRDefault="00F907E1" w:rsidP="00F907E1">
      <w:pPr>
        <w:pStyle w:val="ListParagraph"/>
        <w:numPr>
          <w:ilvl w:val="0"/>
          <w:numId w:val="1"/>
        </w:numPr>
        <w:rPr>
          <w:rStyle w:val="Hyperlink"/>
          <w:color w:val="000000"/>
          <w:u w:val="none"/>
        </w:rPr>
      </w:pPr>
      <w:r w:rsidRPr="00A14D29">
        <w:t xml:space="preserve">Best practices guide race data, </w:t>
      </w:r>
      <w:hyperlink r:id="rId10" w:history="1">
        <w:r w:rsidRPr="00A14D29">
          <w:rPr>
            <w:rStyle w:val="Hyperlink"/>
          </w:rPr>
          <w:t>http://vaww.vhadataportal.med.va.gov/Portals/0/DataQualityProgram/Reports/Best_Practices_Guide_Race_Data.pdf</w:t>
        </w:r>
      </w:hyperlink>
    </w:p>
    <w:p w:rsidR="00326FAF" w:rsidRDefault="00326FAF" w:rsidP="00326FAF">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jc w:val="both"/>
      </w:pPr>
      <w:proofErr w:type="spellStart"/>
      <w:r>
        <w:t>Eicheldinger</w:t>
      </w:r>
      <w:proofErr w:type="spellEnd"/>
      <w:r>
        <w:t>, C. Bonito, A. More Accurate Racial and Ethnic Codes for Medicare Administrative Data. Health Care Financing Review, Spring 2008, Volume 29, Number 3.</w:t>
      </w:r>
    </w:p>
    <w:p w:rsidR="00F907E1" w:rsidRDefault="00542535" w:rsidP="00C90808">
      <w:pPr>
        <w:pStyle w:val="ListParagraph"/>
        <w:ind w:left="360"/>
      </w:pPr>
      <w:hyperlink r:id="rId11" w:history="1">
        <w:r w:rsidR="00326FAF">
          <w:rPr>
            <w:rStyle w:val="Hyperlink"/>
          </w:rPr>
          <w:t>https://www.cms.gov/Research-Statistics-Data-and-Systems/Research/HealthCareFinancingReview/downloads/08Springpg27.pdf</w:t>
        </w:r>
      </w:hyperlink>
    </w:p>
    <w:sectPr w:rsidR="00F907E1" w:rsidSect="00C90808">
      <w:footerReference w:type="default" r:id="rId12"/>
      <w:pgSz w:w="12240" w:h="15840"/>
      <w:pgMar w:top="1440" w:right="1080" w:bottom="1440" w:left="1080" w:header="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535" w:rsidRDefault="00542535">
      <w:r>
        <w:separator/>
      </w:r>
    </w:p>
  </w:endnote>
  <w:endnote w:type="continuationSeparator" w:id="0">
    <w:p w:rsidR="00542535" w:rsidRDefault="0054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engXian Light">
    <w:altName w:val="CSongGB18030C-LightHWL"/>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DA9" w:rsidRDefault="00E70DA9">
    <w:pPr>
      <w:tabs>
        <w:tab w:val="center" w:pos="4320"/>
        <w:tab w:val="right" w:pos="8640"/>
      </w:tabs>
      <w:jc w:val="right"/>
    </w:pPr>
  </w:p>
  <w:p w:rsidR="00E70DA9" w:rsidRDefault="00E70DA9">
    <w:pPr>
      <w:tabs>
        <w:tab w:val="center" w:pos="4320"/>
        <w:tab w:val="right" w:pos="8640"/>
      </w:tabs>
      <w:spacing w:after="72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535" w:rsidRDefault="00542535">
      <w:r>
        <w:separator/>
      </w:r>
    </w:p>
  </w:footnote>
  <w:footnote w:type="continuationSeparator" w:id="0">
    <w:p w:rsidR="00542535" w:rsidRDefault="005425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B4F39"/>
    <w:multiLevelType w:val="multilevel"/>
    <w:tmpl w:val="FEB056E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DA9"/>
    <w:rsid w:val="00014BD7"/>
    <w:rsid w:val="00032520"/>
    <w:rsid w:val="00036C9E"/>
    <w:rsid w:val="000B6A48"/>
    <w:rsid w:val="000E2C79"/>
    <w:rsid w:val="000E328A"/>
    <w:rsid w:val="000F5B3D"/>
    <w:rsid w:val="001528F4"/>
    <w:rsid w:val="00170AF5"/>
    <w:rsid w:val="001C0E75"/>
    <w:rsid w:val="001C6756"/>
    <w:rsid w:val="001E19F6"/>
    <w:rsid w:val="00224198"/>
    <w:rsid w:val="00242F13"/>
    <w:rsid w:val="00267C2A"/>
    <w:rsid w:val="00273D3C"/>
    <w:rsid w:val="002865CC"/>
    <w:rsid w:val="002A4A7F"/>
    <w:rsid w:val="002A53EB"/>
    <w:rsid w:val="002B6006"/>
    <w:rsid w:val="002C5406"/>
    <w:rsid w:val="002E397B"/>
    <w:rsid w:val="002E3CF1"/>
    <w:rsid w:val="00305F53"/>
    <w:rsid w:val="00324459"/>
    <w:rsid w:val="00326551"/>
    <w:rsid w:val="00326FAF"/>
    <w:rsid w:val="00334ED0"/>
    <w:rsid w:val="003556BE"/>
    <w:rsid w:val="003D1916"/>
    <w:rsid w:val="003E3057"/>
    <w:rsid w:val="00404E86"/>
    <w:rsid w:val="00412AEA"/>
    <w:rsid w:val="004174F6"/>
    <w:rsid w:val="0045375B"/>
    <w:rsid w:val="004604EB"/>
    <w:rsid w:val="004642FD"/>
    <w:rsid w:val="00466604"/>
    <w:rsid w:val="00466A11"/>
    <w:rsid w:val="0047328E"/>
    <w:rsid w:val="004741B8"/>
    <w:rsid w:val="004800D4"/>
    <w:rsid w:val="00483A6A"/>
    <w:rsid w:val="00486CBB"/>
    <w:rsid w:val="00492904"/>
    <w:rsid w:val="00492D31"/>
    <w:rsid w:val="004954A7"/>
    <w:rsid w:val="004960A7"/>
    <w:rsid w:val="004B1144"/>
    <w:rsid w:val="004B3683"/>
    <w:rsid w:val="004E459B"/>
    <w:rsid w:val="004E762A"/>
    <w:rsid w:val="0052265D"/>
    <w:rsid w:val="00523DC8"/>
    <w:rsid w:val="005305C0"/>
    <w:rsid w:val="00542535"/>
    <w:rsid w:val="00585647"/>
    <w:rsid w:val="005A22D1"/>
    <w:rsid w:val="005F4F24"/>
    <w:rsid w:val="005F7B59"/>
    <w:rsid w:val="00611351"/>
    <w:rsid w:val="00611E3A"/>
    <w:rsid w:val="0062267B"/>
    <w:rsid w:val="00666B79"/>
    <w:rsid w:val="00681BAB"/>
    <w:rsid w:val="006A63FF"/>
    <w:rsid w:val="006B3B55"/>
    <w:rsid w:val="006D12DC"/>
    <w:rsid w:val="006F2721"/>
    <w:rsid w:val="00764372"/>
    <w:rsid w:val="00780995"/>
    <w:rsid w:val="007B2299"/>
    <w:rsid w:val="007C2B37"/>
    <w:rsid w:val="007D24E8"/>
    <w:rsid w:val="007E1B7A"/>
    <w:rsid w:val="00822523"/>
    <w:rsid w:val="00836A06"/>
    <w:rsid w:val="00840972"/>
    <w:rsid w:val="008671E9"/>
    <w:rsid w:val="008B6BA2"/>
    <w:rsid w:val="008C78B2"/>
    <w:rsid w:val="009049CA"/>
    <w:rsid w:val="0090540E"/>
    <w:rsid w:val="00924A8E"/>
    <w:rsid w:val="00952608"/>
    <w:rsid w:val="00974FD6"/>
    <w:rsid w:val="00984FDE"/>
    <w:rsid w:val="009F2FD4"/>
    <w:rsid w:val="00A14D29"/>
    <w:rsid w:val="00A2059F"/>
    <w:rsid w:val="00A37809"/>
    <w:rsid w:val="00A548BF"/>
    <w:rsid w:val="00A74425"/>
    <w:rsid w:val="00AA445F"/>
    <w:rsid w:val="00AA4989"/>
    <w:rsid w:val="00AC1DA6"/>
    <w:rsid w:val="00AD2360"/>
    <w:rsid w:val="00AD48D8"/>
    <w:rsid w:val="00B2448D"/>
    <w:rsid w:val="00B27B40"/>
    <w:rsid w:val="00B412C9"/>
    <w:rsid w:val="00B4698A"/>
    <w:rsid w:val="00B75FFA"/>
    <w:rsid w:val="00B84A9A"/>
    <w:rsid w:val="00B8588C"/>
    <w:rsid w:val="00B909D5"/>
    <w:rsid w:val="00BB41E5"/>
    <w:rsid w:val="00BC500B"/>
    <w:rsid w:val="00BC52D5"/>
    <w:rsid w:val="00BC7A74"/>
    <w:rsid w:val="00BE76D8"/>
    <w:rsid w:val="00C16AA6"/>
    <w:rsid w:val="00C24998"/>
    <w:rsid w:val="00C504EA"/>
    <w:rsid w:val="00C71D8A"/>
    <w:rsid w:val="00C90808"/>
    <w:rsid w:val="00CC4791"/>
    <w:rsid w:val="00CD726E"/>
    <w:rsid w:val="00CE69CE"/>
    <w:rsid w:val="00D32AF1"/>
    <w:rsid w:val="00D414AE"/>
    <w:rsid w:val="00D5344E"/>
    <w:rsid w:val="00D63487"/>
    <w:rsid w:val="00D63FCB"/>
    <w:rsid w:val="00DA77D5"/>
    <w:rsid w:val="00DC299C"/>
    <w:rsid w:val="00DD0DEB"/>
    <w:rsid w:val="00E0335D"/>
    <w:rsid w:val="00E10B08"/>
    <w:rsid w:val="00E215FB"/>
    <w:rsid w:val="00E31B13"/>
    <w:rsid w:val="00E70DA9"/>
    <w:rsid w:val="00E94A2A"/>
    <w:rsid w:val="00EB40E0"/>
    <w:rsid w:val="00EE725C"/>
    <w:rsid w:val="00F26ED9"/>
    <w:rsid w:val="00F413F0"/>
    <w:rsid w:val="00F43EBF"/>
    <w:rsid w:val="00F443F9"/>
    <w:rsid w:val="00F6349C"/>
    <w:rsid w:val="00F84E12"/>
    <w:rsid w:val="00F907E1"/>
    <w:rsid w:val="00FB1BDC"/>
    <w:rsid w:val="00FB471B"/>
    <w:rsid w:val="00FC0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zh-CN"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120"/>
      <w:jc w:val="center"/>
      <w:outlineLvl w:val="0"/>
    </w:pPr>
    <w:rPr>
      <w:b/>
    </w:rPr>
  </w:style>
  <w:style w:type="paragraph" w:styleId="Heading2">
    <w:name w:val="heading 2"/>
    <w:basedOn w:val="Normal"/>
    <w:next w:val="Normal"/>
    <w:pPr>
      <w:keepNext/>
      <w:jc w:val="center"/>
      <w:outlineLvl w:val="1"/>
    </w:pPr>
    <w:rPr>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jc w:val="center"/>
      <w:outlineLvl w:val="4"/>
    </w:pPr>
    <w:rPr>
      <w:b/>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4960A7"/>
    <w:rPr>
      <w:rFonts w:ascii="Tahoma" w:hAnsi="Tahoma" w:cs="Tahoma"/>
      <w:sz w:val="16"/>
      <w:szCs w:val="16"/>
    </w:rPr>
  </w:style>
  <w:style w:type="character" w:customStyle="1" w:styleId="BalloonTextChar">
    <w:name w:val="Balloon Text Char"/>
    <w:basedOn w:val="DefaultParagraphFont"/>
    <w:link w:val="BalloonText"/>
    <w:uiPriority w:val="99"/>
    <w:semiHidden/>
    <w:rsid w:val="004960A7"/>
    <w:rPr>
      <w:rFonts w:ascii="Tahoma" w:hAnsi="Tahoma" w:cs="Tahoma"/>
      <w:sz w:val="16"/>
      <w:szCs w:val="16"/>
    </w:rPr>
  </w:style>
  <w:style w:type="character" w:styleId="Hyperlink">
    <w:name w:val="Hyperlink"/>
    <w:basedOn w:val="DefaultParagraphFont"/>
    <w:uiPriority w:val="99"/>
    <w:unhideWhenUsed/>
    <w:rsid w:val="00F907E1"/>
    <w:rPr>
      <w:color w:val="0000FF"/>
      <w:u w:val="single"/>
    </w:rPr>
  </w:style>
  <w:style w:type="paragraph" w:styleId="ListParagraph">
    <w:name w:val="List Paragraph"/>
    <w:basedOn w:val="Normal"/>
    <w:uiPriority w:val="34"/>
    <w:qFormat/>
    <w:rsid w:val="00F907E1"/>
    <w:pPr>
      <w:ind w:left="720"/>
      <w:contextualSpacing/>
    </w:pPr>
  </w:style>
  <w:style w:type="character" w:styleId="PlaceholderText">
    <w:name w:val="Placeholder Text"/>
    <w:basedOn w:val="DefaultParagraphFont"/>
    <w:uiPriority w:val="99"/>
    <w:semiHidden/>
    <w:rsid w:val="00FB471B"/>
    <w:rPr>
      <w:color w:val="808080"/>
    </w:rPr>
  </w:style>
  <w:style w:type="character" w:styleId="CommentReference">
    <w:name w:val="annotation reference"/>
    <w:basedOn w:val="DefaultParagraphFont"/>
    <w:uiPriority w:val="99"/>
    <w:semiHidden/>
    <w:unhideWhenUsed/>
    <w:rsid w:val="00AD2360"/>
    <w:rPr>
      <w:sz w:val="16"/>
      <w:szCs w:val="16"/>
    </w:rPr>
  </w:style>
  <w:style w:type="paragraph" w:styleId="CommentText">
    <w:name w:val="annotation text"/>
    <w:basedOn w:val="Normal"/>
    <w:link w:val="CommentTextChar"/>
    <w:uiPriority w:val="99"/>
    <w:semiHidden/>
    <w:unhideWhenUsed/>
    <w:rsid w:val="00AD2360"/>
  </w:style>
  <w:style w:type="character" w:customStyle="1" w:styleId="CommentTextChar">
    <w:name w:val="Comment Text Char"/>
    <w:basedOn w:val="DefaultParagraphFont"/>
    <w:link w:val="CommentText"/>
    <w:uiPriority w:val="99"/>
    <w:semiHidden/>
    <w:rsid w:val="00AD23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zh-CN"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120"/>
      <w:jc w:val="center"/>
      <w:outlineLvl w:val="0"/>
    </w:pPr>
    <w:rPr>
      <w:b/>
    </w:rPr>
  </w:style>
  <w:style w:type="paragraph" w:styleId="Heading2">
    <w:name w:val="heading 2"/>
    <w:basedOn w:val="Normal"/>
    <w:next w:val="Normal"/>
    <w:pPr>
      <w:keepNext/>
      <w:jc w:val="center"/>
      <w:outlineLvl w:val="1"/>
    </w:pPr>
    <w:rPr>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jc w:val="center"/>
      <w:outlineLvl w:val="4"/>
    </w:pPr>
    <w:rPr>
      <w:b/>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4960A7"/>
    <w:rPr>
      <w:rFonts w:ascii="Tahoma" w:hAnsi="Tahoma" w:cs="Tahoma"/>
      <w:sz w:val="16"/>
      <w:szCs w:val="16"/>
    </w:rPr>
  </w:style>
  <w:style w:type="character" w:customStyle="1" w:styleId="BalloonTextChar">
    <w:name w:val="Balloon Text Char"/>
    <w:basedOn w:val="DefaultParagraphFont"/>
    <w:link w:val="BalloonText"/>
    <w:uiPriority w:val="99"/>
    <w:semiHidden/>
    <w:rsid w:val="004960A7"/>
    <w:rPr>
      <w:rFonts w:ascii="Tahoma" w:hAnsi="Tahoma" w:cs="Tahoma"/>
      <w:sz w:val="16"/>
      <w:szCs w:val="16"/>
    </w:rPr>
  </w:style>
  <w:style w:type="character" w:styleId="Hyperlink">
    <w:name w:val="Hyperlink"/>
    <w:basedOn w:val="DefaultParagraphFont"/>
    <w:uiPriority w:val="99"/>
    <w:unhideWhenUsed/>
    <w:rsid w:val="00F907E1"/>
    <w:rPr>
      <w:color w:val="0000FF"/>
      <w:u w:val="single"/>
    </w:rPr>
  </w:style>
  <w:style w:type="paragraph" w:styleId="ListParagraph">
    <w:name w:val="List Paragraph"/>
    <w:basedOn w:val="Normal"/>
    <w:uiPriority w:val="34"/>
    <w:qFormat/>
    <w:rsid w:val="00F907E1"/>
    <w:pPr>
      <w:ind w:left="720"/>
      <w:contextualSpacing/>
    </w:pPr>
  </w:style>
  <w:style w:type="character" w:styleId="PlaceholderText">
    <w:name w:val="Placeholder Text"/>
    <w:basedOn w:val="DefaultParagraphFont"/>
    <w:uiPriority w:val="99"/>
    <w:semiHidden/>
    <w:rsid w:val="00FB471B"/>
    <w:rPr>
      <w:color w:val="808080"/>
    </w:rPr>
  </w:style>
  <w:style w:type="character" w:styleId="CommentReference">
    <w:name w:val="annotation reference"/>
    <w:basedOn w:val="DefaultParagraphFont"/>
    <w:uiPriority w:val="99"/>
    <w:semiHidden/>
    <w:unhideWhenUsed/>
    <w:rsid w:val="00AD2360"/>
    <w:rPr>
      <w:sz w:val="16"/>
      <w:szCs w:val="16"/>
    </w:rPr>
  </w:style>
  <w:style w:type="paragraph" w:styleId="CommentText">
    <w:name w:val="annotation text"/>
    <w:basedOn w:val="Normal"/>
    <w:link w:val="CommentTextChar"/>
    <w:uiPriority w:val="99"/>
    <w:semiHidden/>
    <w:unhideWhenUsed/>
    <w:rsid w:val="00AD2360"/>
  </w:style>
  <w:style w:type="character" w:customStyle="1" w:styleId="CommentTextChar">
    <w:name w:val="Comment Text Char"/>
    <w:basedOn w:val="DefaultParagraphFont"/>
    <w:link w:val="CommentText"/>
    <w:uiPriority w:val="99"/>
    <w:semiHidden/>
    <w:rsid w:val="00AD2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1679">
      <w:bodyDiv w:val="1"/>
      <w:marLeft w:val="0"/>
      <w:marRight w:val="0"/>
      <w:marTop w:val="0"/>
      <w:marBottom w:val="0"/>
      <w:divBdr>
        <w:top w:val="none" w:sz="0" w:space="0" w:color="auto"/>
        <w:left w:val="none" w:sz="0" w:space="0" w:color="auto"/>
        <w:bottom w:val="none" w:sz="0" w:space="0" w:color="auto"/>
        <w:right w:val="none" w:sz="0" w:space="0" w:color="auto"/>
      </w:divBdr>
    </w:div>
    <w:div w:id="372459389">
      <w:bodyDiv w:val="1"/>
      <w:marLeft w:val="0"/>
      <w:marRight w:val="0"/>
      <w:marTop w:val="0"/>
      <w:marBottom w:val="0"/>
      <w:divBdr>
        <w:top w:val="none" w:sz="0" w:space="0" w:color="auto"/>
        <w:left w:val="none" w:sz="0" w:space="0" w:color="auto"/>
        <w:bottom w:val="none" w:sz="0" w:space="0" w:color="auto"/>
        <w:right w:val="none" w:sz="0" w:space="0" w:color="auto"/>
      </w:divBdr>
    </w:div>
    <w:div w:id="644820059">
      <w:bodyDiv w:val="1"/>
      <w:marLeft w:val="0"/>
      <w:marRight w:val="0"/>
      <w:marTop w:val="0"/>
      <w:marBottom w:val="0"/>
      <w:divBdr>
        <w:top w:val="none" w:sz="0" w:space="0" w:color="auto"/>
        <w:left w:val="none" w:sz="0" w:space="0" w:color="auto"/>
        <w:bottom w:val="none" w:sz="0" w:space="0" w:color="auto"/>
        <w:right w:val="none" w:sz="0" w:space="0" w:color="auto"/>
      </w:divBdr>
    </w:div>
    <w:div w:id="946423197">
      <w:bodyDiv w:val="1"/>
      <w:marLeft w:val="0"/>
      <w:marRight w:val="0"/>
      <w:marTop w:val="0"/>
      <w:marBottom w:val="0"/>
      <w:divBdr>
        <w:top w:val="none" w:sz="0" w:space="0" w:color="auto"/>
        <w:left w:val="none" w:sz="0" w:space="0" w:color="auto"/>
        <w:bottom w:val="none" w:sz="0" w:space="0" w:color="auto"/>
        <w:right w:val="none" w:sz="0" w:space="0" w:color="auto"/>
      </w:divBdr>
    </w:div>
    <w:div w:id="1037313191">
      <w:bodyDiv w:val="1"/>
      <w:marLeft w:val="0"/>
      <w:marRight w:val="0"/>
      <w:marTop w:val="0"/>
      <w:marBottom w:val="0"/>
      <w:divBdr>
        <w:top w:val="none" w:sz="0" w:space="0" w:color="auto"/>
        <w:left w:val="none" w:sz="0" w:space="0" w:color="auto"/>
        <w:bottom w:val="none" w:sz="0" w:space="0" w:color="auto"/>
        <w:right w:val="none" w:sz="0" w:space="0" w:color="auto"/>
      </w:divBdr>
    </w:div>
    <w:div w:id="1073551575">
      <w:bodyDiv w:val="1"/>
      <w:marLeft w:val="0"/>
      <w:marRight w:val="0"/>
      <w:marTop w:val="0"/>
      <w:marBottom w:val="0"/>
      <w:divBdr>
        <w:top w:val="none" w:sz="0" w:space="0" w:color="auto"/>
        <w:left w:val="none" w:sz="0" w:space="0" w:color="auto"/>
        <w:bottom w:val="none" w:sz="0" w:space="0" w:color="auto"/>
        <w:right w:val="none" w:sz="0" w:space="0" w:color="auto"/>
      </w:divBdr>
    </w:div>
    <w:div w:id="1394699736">
      <w:bodyDiv w:val="1"/>
      <w:marLeft w:val="0"/>
      <w:marRight w:val="0"/>
      <w:marTop w:val="0"/>
      <w:marBottom w:val="0"/>
      <w:divBdr>
        <w:top w:val="none" w:sz="0" w:space="0" w:color="auto"/>
        <w:left w:val="none" w:sz="0" w:space="0" w:color="auto"/>
        <w:bottom w:val="none" w:sz="0" w:space="0" w:color="auto"/>
        <w:right w:val="none" w:sz="0" w:space="0" w:color="auto"/>
      </w:divBdr>
    </w:div>
    <w:div w:id="1415661760">
      <w:bodyDiv w:val="1"/>
      <w:marLeft w:val="0"/>
      <w:marRight w:val="0"/>
      <w:marTop w:val="0"/>
      <w:marBottom w:val="0"/>
      <w:divBdr>
        <w:top w:val="none" w:sz="0" w:space="0" w:color="auto"/>
        <w:left w:val="none" w:sz="0" w:space="0" w:color="auto"/>
        <w:bottom w:val="none" w:sz="0" w:space="0" w:color="auto"/>
        <w:right w:val="none" w:sz="0" w:space="0" w:color="auto"/>
      </w:divBdr>
    </w:div>
    <w:div w:id="1901862971">
      <w:bodyDiv w:val="1"/>
      <w:marLeft w:val="0"/>
      <w:marRight w:val="0"/>
      <w:marTop w:val="0"/>
      <w:marBottom w:val="0"/>
      <w:divBdr>
        <w:top w:val="none" w:sz="0" w:space="0" w:color="auto"/>
        <w:left w:val="none" w:sz="0" w:space="0" w:color="auto"/>
        <w:bottom w:val="none" w:sz="0" w:space="0" w:color="auto"/>
        <w:right w:val="none" w:sz="0" w:space="0" w:color="auto"/>
      </w:divBdr>
    </w:div>
    <w:div w:id="1920364621">
      <w:bodyDiv w:val="1"/>
      <w:marLeft w:val="0"/>
      <w:marRight w:val="0"/>
      <w:marTop w:val="0"/>
      <w:marBottom w:val="0"/>
      <w:divBdr>
        <w:top w:val="none" w:sz="0" w:space="0" w:color="auto"/>
        <w:left w:val="none" w:sz="0" w:space="0" w:color="auto"/>
        <w:bottom w:val="none" w:sz="0" w:space="0" w:color="auto"/>
        <w:right w:val="none" w:sz="0" w:space="0" w:color="auto"/>
      </w:divBdr>
    </w:div>
    <w:div w:id="2007783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vaww.vhadataportal.med.va.gov/Portals/0/DataQualityProgram/Reports/CDW_Race_Data_and_Multiple_Races.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ms.gov/Research-Statistics-Data-and-Systems/Research/HealthCareFinancingReview/downloads/08Springpg27.pdf" TargetMode="External"/><Relationship Id="rId5" Type="http://schemas.openxmlformats.org/officeDocument/2006/relationships/webSettings" Target="webSettings.xml"/><Relationship Id="rId10" Type="http://schemas.openxmlformats.org/officeDocument/2006/relationships/hyperlink" Target="http://vaww.vhadataportal.med.va.gov/Portals/0/DataQualityProgram/Reports/Best_Practices_Guide_Race_Data.pdf" TargetMode="External"/><Relationship Id="rId4" Type="http://schemas.openxmlformats.org/officeDocument/2006/relationships/settings" Target="settings.xml"/><Relationship Id="rId9" Type="http://schemas.openxmlformats.org/officeDocument/2006/relationships/hyperlink" Target="http://vaww.virec.research.va.gov/Notebook/RNB/RNB6-CDW-SQL-to-Sort-Out-Race-CY1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Aize</dc:creator>
  <cp:lastModifiedBy>Cao, Aize</cp:lastModifiedBy>
  <cp:revision>12</cp:revision>
  <dcterms:created xsi:type="dcterms:W3CDTF">2017-08-30T20:48:00Z</dcterms:created>
  <dcterms:modified xsi:type="dcterms:W3CDTF">2017-08-30T21:05:00Z</dcterms:modified>
</cp:coreProperties>
</file>