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B4" w:rsidRPr="006D0BF4" w:rsidRDefault="004A55B4" w:rsidP="00931799">
      <w:pPr>
        <w:spacing w:line="240" w:lineRule="auto"/>
        <w:jc w:val="center"/>
        <w:rPr>
          <w:rFonts w:eastAsia="Times New Roman" w:cs="Times New Roman"/>
          <w:b/>
          <w:bCs/>
          <w:kern w:val="36"/>
          <w:sz w:val="36"/>
          <w:szCs w:val="36"/>
        </w:rPr>
      </w:pPr>
      <w:r w:rsidRPr="006D0BF4">
        <w:rPr>
          <w:rFonts w:eastAsia="Times New Roman" w:cs="Times New Roman"/>
          <w:b/>
          <w:bCs/>
          <w:kern w:val="36"/>
          <w:sz w:val="36"/>
          <w:szCs w:val="36"/>
        </w:rPr>
        <w:t xml:space="preserve">Predictive Modeling as an OHDSI Network Study: Treatment Non-Response in NSCLC patients treated with </w:t>
      </w:r>
      <w:r w:rsidR="0063624C">
        <w:rPr>
          <w:rFonts w:eastAsia="Times New Roman" w:cs="Times New Roman"/>
          <w:b/>
          <w:bCs/>
          <w:kern w:val="36"/>
          <w:sz w:val="36"/>
          <w:szCs w:val="36"/>
        </w:rPr>
        <w:t>ALK</w:t>
      </w:r>
      <w:r w:rsidRPr="006D0BF4">
        <w:rPr>
          <w:rFonts w:eastAsia="Times New Roman" w:cs="Times New Roman"/>
          <w:b/>
          <w:bCs/>
          <w:kern w:val="36"/>
          <w:sz w:val="36"/>
          <w:szCs w:val="36"/>
        </w:rPr>
        <w:t xml:space="preserve"> Inhibitors</w:t>
      </w:r>
    </w:p>
    <w:p w:rsidR="00931799" w:rsidRPr="00677970" w:rsidRDefault="00931799" w:rsidP="00931799">
      <w:pPr>
        <w:spacing w:line="240" w:lineRule="auto"/>
        <w:jc w:val="center"/>
        <w:rPr>
          <w:rFonts w:eastAsia="Times New Roman" w:cs="Times New Roman"/>
          <w:b/>
          <w:lang w:val="de-DE"/>
        </w:rPr>
      </w:pPr>
    </w:p>
    <w:p w:rsidR="00931799" w:rsidRPr="006D0BF4" w:rsidRDefault="004A55B4" w:rsidP="00931799">
      <w:pPr>
        <w:spacing w:line="240" w:lineRule="auto"/>
        <w:jc w:val="center"/>
        <w:rPr>
          <w:rFonts w:eastAsia="Times New Roman" w:cs="Times New Roman"/>
        </w:rPr>
      </w:pPr>
      <w:r w:rsidRPr="006D0BF4">
        <w:rPr>
          <w:rFonts w:eastAsia="Times New Roman" w:cs="Times New Roman"/>
          <w:color w:val="000000"/>
        </w:rPr>
        <w:t>Aaron Galaznik</w:t>
      </w:r>
      <w:r w:rsidR="00931799" w:rsidRPr="006D0BF4">
        <w:rPr>
          <w:rFonts w:eastAsia="Times New Roman" w:cs="Times New Roman"/>
          <w:color w:val="000000"/>
          <w:vertAlign w:val="superscript"/>
        </w:rPr>
        <w:t>1</w:t>
      </w:r>
      <w:r w:rsidR="00931799" w:rsidRPr="006D0BF4">
        <w:rPr>
          <w:rFonts w:eastAsia="Times New Roman" w:cs="Times New Roman"/>
          <w:color w:val="000000"/>
        </w:rPr>
        <w:t xml:space="preserve">, </w:t>
      </w:r>
      <w:r w:rsidRPr="006D0BF4">
        <w:rPr>
          <w:rFonts w:eastAsia="Times New Roman" w:cs="Times New Roman"/>
          <w:color w:val="000000"/>
        </w:rPr>
        <w:t>Greg Klebanov</w:t>
      </w:r>
      <w:r w:rsidRPr="006D0BF4">
        <w:rPr>
          <w:rFonts w:eastAsia="Times New Roman" w:cs="Times New Roman"/>
          <w:color w:val="000000"/>
          <w:vertAlign w:val="superscript"/>
        </w:rPr>
        <w:t>2</w:t>
      </w:r>
      <w:r w:rsidRPr="006D0BF4">
        <w:rPr>
          <w:rFonts w:eastAsia="Times New Roman" w:cs="Times New Roman"/>
          <w:color w:val="000000"/>
        </w:rPr>
        <w:t>,</w:t>
      </w:r>
      <w:r w:rsidR="00931799" w:rsidRPr="006D0BF4">
        <w:rPr>
          <w:rFonts w:eastAsia="Times New Roman" w:cs="Times New Roman"/>
          <w:color w:val="000000"/>
        </w:rPr>
        <w:t xml:space="preserve"> </w:t>
      </w:r>
      <w:r w:rsidR="00043061">
        <w:rPr>
          <w:rFonts w:eastAsia="Times New Roman" w:cs="Times New Roman"/>
          <w:color w:val="000000"/>
        </w:rPr>
        <w:t>Eldar Allakhverdiiev</w:t>
      </w:r>
      <w:r w:rsidR="00043061" w:rsidRPr="006D0BF4">
        <w:rPr>
          <w:rFonts w:eastAsia="Times New Roman" w:cs="Times New Roman"/>
          <w:color w:val="000000"/>
          <w:vertAlign w:val="superscript"/>
        </w:rPr>
        <w:t>2</w:t>
      </w:r>
      <w:r w:rsidR="00043061">
        <w:rPr>
          <w:rFonts w:eastAsia="Times New Roman" w:cs="Times New Roman"/>
          <w:color w:val="000000"/>
        </w:rPr>
        <w:t xml:space="preserve">, </w:t>
      </w:r>
      <w:r w:rsidR="00540E53">
        <w:rPr>
          <w:rFonts w:eastAsia="Times New Roman" w:cs="Times New Roman"/>
          <w:color w:val="000000"/>
        </w:rPr>
        <w:t>Yuri Khoma</w:t>
      </w:r>
      <w:r w:rsidR="00540E53" w:rsidRPr="006D0BF4">
        <w:rPr>
          <w:rFonts w:eastAsia="Times New Roman" w:cs="Times New Roman"/>
          <w:color w:val="000000"/>
          <w:vertAlign w:val="superscript"/>
        </w:rPr>
        <w:t>2</w:t>
      </w:r>
      <w:r w:rsidR="00540E53">
        <w:rPr>
          <w:rFonts w:eastAsia="Times New Roman" w:cs="Times New Roman"/>
          <w:color w:val="000000"/>
        </w:rPr>
        <w:t xml:space="preserve"> </w:t>
      </w:r>
      <w:r w:rsidR="00931799" w:rsidRPr="006D0BF4">
        <w:rPr>
          <w:rFonts w:eastAsia="Times New Roman" w:cs="Times New Roman"/>
          <w:color w:val="000000"/>
        </w:rPr>
        <w:t>and Christian Reich</w:t>
      </w:r>
      <w:r w:rsidRPr="006D0BF4">
        <w:rPr>
          <w:rFonts w:eastAsia="Times New Roman" w:cs="Times New Roman"/>
          <w:color w:val="000000"/>
          <w:vertAlign w:val="superscript"/>
        </w:rPr>
        <w:t>3</w:t>
      </w:r>
    </w:p>
    <w:p w:rsidR="00931799" w:rsidRPr="006D0BF4" w:rsidRDefault="00931799" w:rsidP="00931799">
      <w:pPr>
        <w:spacing w:line="240" w:lineRule="auto"/>
        <w:jc w:val="center"/>
        <w:rPr>
          <w:rFonts w:eastAsia="Times New Roman" w:cs="Times New Roman"/>
        </w:rPr>
      </w:pPr>
      <w:r w:rsidRPr="006D0BF4">
        <w:rPr>
          <w:rFonts w:eastAsia="Times New Roman" w:cs="Times New Roman"/>
          <w:color w:val="000000"/>
          <w:vertAlign w:val="superscript"/>
        </w:rPr>
        <w:t>1</w:t>
      </w:r>
      <w:r w:rsidR="004A55B4" w:rsidRPr="006D0BF4">
        <w:rPr>
          <w:rFonts w:eastAsia="Times New Roman" w:cs="Times New Roman"/>
          <w:color w:val="000000"/>
        </w:rPr>
        <w:t>Takeda Phar</w:t>
      </w:r>
      <w:r w:rsidR="00540E53">
        <w:rPr>
          <w:rFonts w:eastAsia="Times New Roman" w:cs="Times New Roman"/>
          <w:color w:val="000000"/>
        </w:rPr>
        <w:t xml:space="preserve">maceuticals, Cambridge MA USA; </w:t>
      </w:r>
      <w:r w:rsidR="004A55B4" w:rsidRPr="006D0BF4">
        <w:rPr>
          <w:rFonts w:eastAsia="Times New Roman" w:cs="Times New Roman"/>
          <w:color w:val="000000"/>
          <w:vertAlign w:val="superscript"/>
        </w:rPr>
        <w:t>2</w:t>
      </w:r>
      <w:r w:rsidR="004A55B4" w:rsidRPr="006D0BF4">
        <w:rPr>
          <w:rFonts w:eastAsia="Times New Roman" w:cs="Times New Roman"/>
          <w:color w:val="000000"/>
        </w:rPr>
        <w:t>O</w:t>
      </w:r>
      <w:r w:rsidRPr="006D0BF4">
        <w:rPr>
          <w:rFonts w:eastAsia="Times New Roman" w:cs="Times New Roman"/>
          <w:color w:val="000000"/>
        </w:rPr>
        <w:t xml:space="preserve">dysseus Data Services, Cambridge MA USA; </w:t>
      </w:r>
      <w:r w:rsidR="004A55B4" w:rsidRPr="006D0BF4">
        <w:rPr>
          <w:rFonts w:eastAsia="Times New Roman" w:cs="Times New Roman"/>
          <w:color w:val="000000"/>
          <w:vertAlign w:val="superscript"/>
        </w:rPr>
        <w:t>3</w:t>
      </w:r>
      <w:r w:rsidRPr="006D0BF4">
        <w:rPr>
          <w:rFonts w:eastAsia="Times New Roman" w:cs="Times New Roman"/>
          <w:color w:val="000000"/>
        </w:rPr>
        <w:t>QuintilesIMS, Cambridge MA USA</w:t>
      </w:r>
      <w:bookmarkStart w:id="0" w:name="_GoBack"/>
      <w:bookmarkEnd w:id="0"/>
    </w:p>
    <w:p w:rsidR="00931799" w:rsidRPr="006D0BF4" w:rsidRDefault="00931799" w:rsidP="00931799">
      <w:pPr>
        <w:spacing w:line="240" w:lineRule="auto"/>
        <w:rPr>
          <w:rFonts w:eastAsia="Times New Roman" w:cs="Times New Roman"/>
        </w:rPr>
      </w:pPr>
    </w:p>
    <w:p w:rsidR="00931799" w:rsidRPr="006D0BF4" w:rsidRDefault="00931799" w:rsidP="00931799">
      <w:pPr>
        <w:spacing w:line="240" w:lineRule="auto"/>
        <w:rPr>
          <w:rFonts w:eastAsia="Times New Roman" w:cs="Times New Roman"/>
        </w:rPr>
      </w:pPr>
      <w:r w:rsidRPr="006D0BF4">
        <w:rPr>
          <w:rFonts w:eastAsia="Times New Roman" w:cs="Times New Roman"/>
          <w:b/>
          <w:bCs/>
          <w:color w:val="000000"/>
        </w:rPr>
        <w:t>Abstract</w:t>
      </w:r>
    </w:p>
    <w:p w:rsidR="005242DA" w:rsidRPr="006D0BF4" w:rsidRDefault="00EC2BDC" w:rsidP="00FB4188">
      <w:pPr>
        <w:spacing w:after="200" w:line="240" w:lineRule="auto"/>
        <w:rPr>
          <w:rFonts w:cs="Times New Roman"/>
          <w:i/>
        </w:rPr>
      </w:pPr>
      <w:r w:rsidRPr="006D0BF4">
        <w:rPr>
          <w:rFonts w:cs="Times New Roman"/>
          <w:i/>
        </w:rPr>
        <w:t>In this study, w</w:t>
      </w:r>
      <w:r w:rsidR="00931799" w:rsidRPr="006D0BF4">
        <w:rPr>
          <w:rFonts w:cs="Times New Roman"/>
          <w:i/>
        </w:rPr>
        <w:t xml:space="preserve">e </w:t>
      </w:r>
      <w:r w:rsidRPr="006D0BF4">
        <w:rPr>
          <w:rFonts w:cs="Times New Roman"/>
          <w:i/>
        </w:rPr>
        <w:t xml:space="preserve">determine the rate </w:t>
      </w:r>
      <w:r w:rsidR="00381D9F" w:rsidRPr="006D0BF4">
        <w:rPr>
          <w:rFonts w:cs="Times New Roman"/>
          <w:i/>
        </w:rPr>
        <w:t>of</w:t>
      </w:r>
      <w:r w:rsidR="005242DA" w:rsidRPr="006D0BF4">
        <w:rPr>
          <w:rFonts w:cs="Times New Roman"/>
          <w:i/>
        </w:rPr>
        <w:t xml:space="preserve"> </w:t>
      </w:r>
      <w:r w:rsidR="004A55B4" w:rsidRPr="006D0BF4">
        <w:rPr>
          <w:rFonts w:cs="Times New Roman"/>
          <w:i/>
        </w:rPr>
        <w:t xml:space="preserve">non-response to </w:t>
      </w:r>
      <w:r w:rsidR="0063624C">
        <w:rPr>
          <w:rFonts w:cs="Times New Roman"/>
          <w:i/>
        </w:rPr>
        <w:t>treatment with ALK</w:t>
      </w:r>
      <w:r w:rsidR="004A55B4" w:rsidRPr="006D0BF4">
        <w:rPr>
          <w:rFonts w:cs="Times New Roman"/>
          <w:i/>
        </w:rPr>
        <w:t xml:space="preserve"> inhibitors </w:t>
      </w:r>
      <w:r w:rsidRPr="006D0BF4">
        <w:rPr>
          <w:rFonts w:cs="Times New Roman"/>
          <w:i/>
        </w:rPr>
        <w:t xml:space="preserve">in patients of Non-Small Cell Lung Cancer (NSCLC). We also </w:t>
      </w:r>
      <w:r w:rsidR="004A55B4" w:rsidRPr="006D0BF4">
        <w:rPr>
          <w:rFonts w:cs="Times New Roman"/>
          <w:i/>
        </w:rPr>
        <w:t>develop</w:t>
      </w:r>
      <w:r w:rsidRPr="006D0BF4">
        <w:rPr>
          <w:rFonts w:cs="Times New Roman"/>
          <w:i/>
        </w:rPr>
        <w:t>ed</w:t>
      </w:r>
      <w:r w:rsidR="004A55B4" w:rsidRPr="006D0BF4">
        <w:rPr>
          <w:rFonts w:cs="Times New Roman"/>
          <w:i/>
        </w:rPr>
        <w:t xml:space="preserve"> a predictive algorithm for identifying patients at high risk of treatment non-response to these agents</w:t>
      </w:r>
      <w:r w:rsidRPr="006D0BF4">
        <w:rPr>
          <w:rFonts w:cs="Times New Roman"/>
          <w:i/>
        </w:rPr>
        <w:t>. Both investigations</w:t>
      </w:r>
      <w:r w:rsidR="006D0BF4" w:rsidRPr="006D0BF4">
        <w:rPr>
          <w:rFonts w:cs="Times New Roman"/>
          <w:i/>
        </w:rPr>
        <w:t xml:space="preserve"> are </w:t>
      </w:r>
      <w:r w:rsidRPr="006D0BF4">
        <w:rPr>
          <w:rFonts w:cs="Times New Roman"/>
          <w:i/>
        </w:rPr>
        <w:t>conducted as an OHDSI network study, i.e. the R developed on a local database is distributed for execution against a suite of four US database assets remotely using the ARACHNE study execution tool.</w:t>
      </w:r>
    </w:p>
    <w:p w:rsidR="002A0377" w:rsidRDefault="00931799" w:rsidP="0063624C">
      <w:pPr>
        <w:spacing w:line="240" w:lineRule="auto"/>
        <w:rPr>
          <w:rFonts w:cs="Times New Roman"/>
        </w:rPr>
      </w:pPr>
      <w:r w:rsidRPr="006D0BF4">
        <w:rPr>
          <w:rFonts w:eastAsia="Times New Roman" w:cs="Times New Roman"/>
          <w:b/>
          <w:bCs/>
          <w:color w:val="000000"/>
        </w:rPr>
        <w:t>Introduction</w:t>
      </w:r>
      <w:r w:rsidR="006D0BF4" w:rsidRPr="006D0BF4">
        <w:rPr>
          <w:rFonts w:cs="Times New Roman"/>
        </w:rPr>
        <w:t xml:space="preserve"> </w:t>
      </w:r>
    </w:p>
    <w:p w:rsidR="00542EEB" w:rsidRDefault="00542EEB" w:rsidP="00540E53">
      <w:pPr>
        <w:spacing w:after="200" w:line="240" w:lineRule="auto"/>
        <w:rPr>
          <w:rFonts w:cs="Times New Roman"/>
        </w:rPr>
      </w:pPr>
      <w:r>
        <w:rPr>
          <w:rFonts w:cs="Times New Roman"/>
        </w:rPr>
        <w:t xml:space="preserve">Targeted therapy is now standard-of-care (SOC) for subsets of patients whose tumors harbor </w:t>
      </w:r>
      <w:proofErr w:type="spellStart"/>
      <w:r>
        <w:rPr>
          <w:rFonts w:cs="Times New Roman"/>
        </w:rPr>
        <w:t>oncogenic</w:t>
      </w:r>
      <w:proofErr w:type="spellEnd"/>
      <w:r>
        <w:rPr>
          <w:rFonts w:cs="Times New Roman"/>
        </w:rPr>
        <w:t xml:space="preserve"> alterations, exemplified by Non-Small Cell Lung Cancer (NSCLC) mutations. EGFR mutations are the most ‘common’ de novo mutations and are effectively treated using </w:t>
      </w:r>
      <w:r w:rsidR="00392B2B">
        <w:rPr>
          <w:rFonts w:cs="Times New Roman"/>
        </w:rPr>
        <w:t xml:space="preserve"> </w:t>
      </w:r>
      <w:r w:rsidR="00540E53">
        <w:rPr>
          <w:rFonts w:cs="Times New Roman"/>
        </w:rPr>
        <w:t>TKI</w:t>
      </w:r>
      <w:r w:rsidR="00392B2B">
        <w:rPr>
          <w:rFonts w:cs="Times New Roman"/>
        </w:rPr>
        <w:t xml:space="preserve"> inhibitors,</w:t>
      </w:r>
      <w:r>
        <w:rPr>
          <w:rFonts w:cs="Times New Roman"/>
        </w:rPr>
        <w:t xml:space="preserve"> with patients routinely achieving a significant response rate (ORR 60-70%)</w:t>
      </w:r>
      <w:r w:rsidR="00592FBF">
        <w:rPr>
          <w:rFonts w:cs="Times New Roman"/>
        </w:rPr>
        <w:fldChar w:fldCharType="begin"/>
      </w:r>
      <w:r>
        <w:rPr>
          <w:rFonts w:cs="Times New Roman"/>
        </w:rPr>
        <w:instrText xml:space="preserve"> ADDIN EN.CITE &lt;EndNote&gt;&lt;Cite&gt;&lt;Author&gt;Langer&lt;/Author&gt;&lt;Year&gt;2013&lt;/Year&gt;&lt;RecNum&gt;28&lt;/RecNum&gt;&lt;DisplayText&gt;[4]&lt;/DisplayText&gt;&lt;record&gt;&lt;rec-number&gt;28&lt;/rec-number&gt;&lt;foreign-keys&gt;&lt;key app="EN" db-id="teetwzs0rvsfxhev0rkvzwem0esvr902pd5z" timestamp="1499560670"&gt;28&lt;/key&gt;&lt;/foreign-keys&gt;&lt;ref-type name="Journal Article/Published Mtg Abstracts"&gt;17&lt;/ref-type&gt;&lt;contributors&gt;&lt;authors&gt;&lt;author&gt;Langer, C. J.&lt;/author&gt;&lt;/authors&gt;&lt;/contributors&gt;&lt;auth-address&gt;Abramson Cancer Center, University of Pennsylvania, Philadelphia, PA.&lt;/auth-address&gt;&lt;titles&gt;&lt;title&gt;Epidermal growth factor receptor inhibition in mutation-positive non-small-cell lung cancer: is afatinib better or simply newer?&lt;/title&gt;&lt;secondary-title&gt;J Clin Oncol&lt;/secondary-title&gt;&lt;/titles&gt;&lt;periodical&gt;&lt;full-title&gt;J Clin Oncol&lt;/full-title&gt;&lt;/periodical&gt;&lt;pages&gt;3303-6&lt;/pages&gt;&lt;volume&gt;31&lt;/volume&gt;&lt;number&gt;27&lt;/number&gt;&lt;keywords&gt;&lt;keyword&gt;Adenocarcinoma/*drug therapy/*enzymology&lt;/keyword&gt;&lt;keyword&gt;Antineoplastic Combined Chemotherapy Protocols/*therapeutic use&lt;/keyword&gt;&lt;keyword&gt;Female&lt;/keyword&gt;&lt;keyword&gt;Humans&lt;/keyword&gt;&lt;keyword&gt;Lung Neoplasms/*drug therapy/*enzymology&lt;/keyword&gt;&lt;keyword&gt;Male&lt;/keyword&gt;&lt;keyword&gt;*Mutation&lt;/keyword&gt;&lt;keyword&gt;Quinazolines/*therapeutic use&lt;/keyword&gt;&lt;keyword&gt;Receptor, Epidermal Growth Factor/*genetics&lt;/keyword&gt;&lt;/keywords&gt;&lt;dates&gt;&lt;year&gt;2013&lt;/year&gt;&lt;pub-dates&gt;&lt;date&gt;Sep 20&lt;/date&gt;&lt;/pub-dates&gt;&lt;/dates&gt;&lt;isbn&gt;1527-7755 (Electronic)&amp;#xD;0732-183X (Linking)&lt;/isbn&gt;&lt;accession-num&gt;23980079&lt;/accession-num&gt;&lt;urls&gt;&lt;related-urls&gt;&lt;url&gt;http://www.ncbi.nlm.nih.gov/pubmed/23980079&lt;/url&gt;&lt;/related-urls&gt;&lt;/urls&gt;&lt;electronic-resource-num&gt;10.1200/JCO.2013.49.8782&lt;/electronic-resource-num&gt;&lt;/record&gt;&lt;/Cite&gt;&lt;/EndNote&gt;</w:instrText>
      </w:r>
      <w:r w:rsidR="00592FBF">
        <w:rPr>
          <w:rFonts w:cs="Times New Roman"/>
        </w:rPr>
        <w:fldChar w:fldCharType="separate"/>
      </w:r>
      <w:r>
        <w:rPr>
          <w:rFonts w:cs="Times New Roman"/>
        </w:rPr>
        <w:t>[</w:t>
      </w:r>
      <w:r w:rsidR="00540E53">
        <w:rPr>
          <w:rFonts w:cs="Times New Roman"/>
        </w:rPr>
        <w:t>1</w:t>
      </w:r>
      <w:r>
        <w:rPr>
          <w:rFonts w:cs="Times New Roman"/>
        </w:rPr>
        <w:t>]</w:t>
      </w:r>
      <w:r w:rsidR="00592FBF">
        <w:rPr>
          <w:rFonts w:cs="Times New Roman"/>
        </w:rPr>
        <w:fldChar w:fldCharType="end"/>
      </w:r>
      <w:r>
        <w:rPr>
          <w:rFonts w:cs="Times New Roman"/>
        </w:rPr>
        <w:t xml:space="preserve"> and a median progression free survival (</w:t>
      </w:r>
      <w:proofErr w:type="spellStart"/>
      <w:r>
        <w:rPr>
          <w:rFonts w:cs="Times New Roman"/>
        </w:rPr>
        <w:t>mPFS</w:t>
      </w:r>
      <w:proofErr w:type="spellEnd"/>
      <w:r>
        <w:rPr>
          <w:rFonts w:cs="Times New Roman"/>
        </w:rPr>
        <w:t xml:space="preserve">) of 9.5 months </w:t>
      </w:r>
      <w:r w:rsidR="00592FBF">
        <w:rPr>
          <w:rFonts w:cs="Times New Roman"/>
        </w:rPr>
        <w:fldChar w:fldCharType="begin">
          <w:fldData xml:space="preserve">PEVuZE5vdGU+PENpdGU+PEF1dGhvcj5Sb3NlbGw8L0F1dGhvcj48WWVhcj4yMDEyPC9ZZWFyPjxS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</w:fldData>
        </w:fldChar>
      </w:r>
      <w:r>
        <w:rPr>
          <w:rFonts w:cs="Times New Roman"/>
        </w:rPr>
        <w:instrText xml:space="preserve"> ADDIN EN.CITE </w:instrText>
      </w:r>
      <w:r w:rsidR="00592FBF">
        <w:rPr>
          <w:rFonts w:cs="Times New Roman"/>
        </w:rPr>
        <w:fldChar w:fldCharType="begin">
          <w:fldData xml:space="preserve">PEVuZE5vdGU+PENpdGU+PEF1dGhvcj5Sb3NlbGw8L0F1dGhvcj48WWVhcj4yMDEyPC9ZZWFyPjxS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</w:fldData>
        </w:fldChar>
      </w:r>
      <w:r>
        <w:rPr>
          <w:rFonts w:cs="Times New Roman"/>
        </w:rPr>
        <w:instrText xml:space="preserve"> ADDIN EN.CITE.DATA </w:instrText>
      </w:r>
      <w:r w:rsidR="00592FBF">
        <w:rPr>
          <w:rFonts w:cs="Times New Roman"/>
        </w:rPr>
      </w:r>
      <w:r w:rsidR="00592FBF">
        <w:rPr>
          <w:rFonts w:cs="Times New Roman"/>
        </w:rPr>
        <w:fldChar w:fldCharType="end"/>
      </w:r>
      <w:r w:rsidR="00592FBF">
        <w:rPr>
          <w:rFonts w:cs="Times New Roman"/>
        </w:rPr>
      </w:r>
      <w:r w:rsidR="00592FBF">
        <w:rPr>
          <w:rFonts w:cs="Times New Roman"/>
        </w:rPr>
        <w:fldChar w:fldCharType="separate"/>
      </w:r>
      <w:r w:rsidR="00540E53">
        <w:rPr>
          <w:rFonts w:cs="Times New Roman"/>
        </w:rPr>
        <w:t>[2</w:t>
      </w:r>
      <w:r>
        <w:rPr>
          <w:rFonts w:cs="Times New Roman"/>
        </w:rPr>
        <w:t>]</w:t>
      </w:r>
      <w:r w:rsidR="00592FBF">
        <w:rPr>
          <w:rFonts w:cs="Times New Roman"/>
        </w:rPr>
        <w:fldChar w:fldCharType="end"/>
      </w:r>
      <w:r>
        <w:rPr>
          <w:rFonts w:cs="Times New Roman"/>
        </w:rPr>
        <w:t xml:space="preserve">. </w:t>
      </w:r>
      <w:r w:rsidR="00392B2B">
        <w:rPr>
          <w:rFonts w:cs="Times New Roman"/>
        </w:rPr>
        <w:t xml:space="preserve"> At the same time variety of ALK mutations </w:t>
      </w:r>
      <w:r w:rsidR="00392B2B" w:rsidRPr="00392B2B">
        <w:rPr>
          <w:rFonts w:cs="Times New Roman"/>
        </w:rPr>
        <w:t>(</w:t>
      </w:r>
      <w:r w:rsidR="00392B2B">
        <w:rPr>
          <w:rFonts w:cs="Times New Roman"/>
        </w:rPr>
        <w:t xml:space="preserve">amplification, fusions: </w:t>
      </w:r>
      <w:r w:rsidR="00392B2B">
        <w:rPr>
          <w:rFonts w:ascii="Arial" w:hAnsi="Arial" w:cs="Arial"/>
          <w:color w:val="000000"/>
          <w:sz w:val="20"/>
          <w:szCs w:val="20"/>
          <w:shd w:val="clear" w:color="auto" w:fill="FFFFFF"/>
        </w:rPr>
        <w:t xml:space="preserve">EML4 -ALK, </w:t>
      </w:r>
      <w:r w:rsidR="00392B2B" w:rsidRPr="002A0377">
        <w:rPr>
          <w:rFonts w:cs="Times New Roman"/>
        </w:rPr>
        <w:t>RANBP2-ALK</w:t>
      </w:r>
      <w:r w:rsidR="00392B2B">
        <w:rPr>
          <w:rFonts w:cs="Times New Roman"/>
        </w:rPr>
        <w:t xml:space="preserve">, </w:t>
      </w:r>
      <w:r w:rsidR="00392B2B" w:rsidRPr="002A0377">
        <w:rPr>
          <w:rFonts w:cs="Times New Roman"/>
        </w:rPr>
        <w:t>NPM-ALK</w:t>
      </w:r>
      <w:r w:rsidR="00392B2B">
        <w:rPr>
          <w:rFonts w:cs="Times New Roman"/>
        </w:rPr>
        <w:t xml:space="preserve">, </w:t>
      </w:r>
      <w:r w:rsidR="00392B2B" w:rsidRPr="002A0377">
        <w:rPr>
          <w:rFonts w:cs="Times New Roman"/>
        </w:rPr>
        <w:t>STRN-ALK</w:t>
      </w:r>
      <w:r w:rsidR="00392B2B">
        <w:rPr>
          <w:rFonts w:cs="Times New Roman"/>
        </w:rPr>
        <w:t xml:space="preserve">, </w:t>
      </w:r>
      <w:r w:rsidR="00392B2B" w:rsidRPr="002A0377">
        <w:rPr>
          <w:rFonts w:cs="Times New Roman"/>
        </w:rPr>
        <w:t>KIF5B-ALK</w:t>
      </w:r>
      <w:r w:rsidR="00392B2B" w:rsidRPr="00392B2B">
        <w:rPr>
          <w:rFonts w:cs="Times New Roman"/>
        </w:rPr>
        <w:t xml:space="preserve">) </w:t>
      </w:r>
      <w:r w:rsidR="00392B2B">
        <w:rPr>
          <w:rFonts w:cs="Times New Roman"/>
        </w:rPr>
        <w:t>is still</w:t>
      </w:r>
      <w:r w:rsidR="00392B2B" w:rsidRPr="00392B2B">
        <w:rPr>
          <w:rFonts w:cs="Times New Roman"/>
        </w:rPr>
        <w:t xml:space="preserve"> </w:t>
      </w:r>
      <w:r w:rsidR="00392B2B">
        <w:rPr>
          <w:rFonts w:cs="Times New Roman"/>
        </w:rPr>
        <w:t xml:space="preserve">not fully investigated. </w:t>
      </w:r>
      <w:r>
        <w:rPr>
          <w:rFonts w:cs="Times New Roman"/>
        </w:rPr>
        <w:t xml:space="preserve">These patients have significantly lower response rates on TKI therapy. </w:t>
      </w:r>
    </w:p>
    <w:p w:rsidR="00FB4188" w:rsidRDefault="006D0BF4" w:rsidP="0063624C">
      <w:pPr>
        <w:tabs>
          <w:tab w:val="left" w:pos="9360"/>
        </w:tabs>
        <w:spacing w:after="200" w:line="240" w:lineRule="auto"/>
        <w:rPr>
          <w:rFonts w:cs="Times New Roman"/>
        </w:rPr>
      </w:pPr>
      <w:r w:rsidRPr="006D0BF4">
        <w:rPr>
          <w:rFonts w:cs="Times New Roman"/>
        </w:rPr>
        <w:t xml:space="preserve">As an area of unmet need, Takeda is interested in developing novel therapeutics intended to benefit NSCLC patients with less common mutations.  To support these efforts, Takeda is interested in characterizing, in NSCLC patients, the real-world rate of treatment non-response to </w:t>
      </w:r>
      <w:r w:rsidR="0063624C">
        <w:rPr>
          <w:rFonts w:cs="Times New Roman"/>
        </w:rPr>
        <w:t>ALK</w:t>
      </w:r>
      <w:r w:rsidRPr="006D0BF4">
        <w:rPr>
          <w:rFonts w:cs="Times New Roman"/>
        </w:rPr>
        <w:t>-inhibitors</w:t>
      </w:r>
      <w:r w:rsidR="0063624C">
        <w:rPr>
          <w:rFonts w:cs="Times New Roman"/>
        </w:rPr>
        <w:t xml:space="preserve">, </w:t>
      </w:r>
      <w:r w:rsidRPr="006D0BF4">
        <w:rPr>
          <w:rFonts w:cs="Times New Roman"/>
        </w:rPr>
        <w:t>which are increasingly being used in NSCLC as well. This information is used to develop a predictive modeling algorithm for identifying patients at higher risk of treatment non-respons</w:t>
      </w:r>
      <w:r w:rsidR="0063624C">
        <w:rPr>
          <w:rFonts w:cs="Times New Roman"/>
        </w:rPr>
        <w:t xml:space="preserve">e to these agents. </w:t>
      </w:r>
      <w:r w:rsidRPr="006D0BF4">
        <w:rPr>
          <w:rFonts w:cs="Times New Roman"/>
        </w:rPr>
        <w:t xml:space="preserve">The role of the algorithm would be to aid in identifying patients likely to benefit from novel therapeutics through clinical parameters, thereby complementing genomic/biomarker based approaches. Such an approach has potential applications to characterizing population needs, clinical study recruitment, and treatment decision-making for patients with NSCLC.  </w:t>
      </w:r>
    </w:p>
    <w:p w:rsidR="006D0BF4" w:rsidRDefault="006D0BF4" w:rsidP="00FB4188">
      <w:pPr>
        <w:tabs>
          <w:tab w:val="left" w:pos="9360"/>
        </w:tabs>
        <w:spacing w:line="240" w:lineRule="auto"/>
        <w:rPr>
          <w:rFonts w:cs="Times New Roman"/>
          <w:b/>
          <w:color w:val="333333"/>
          <w:shd w:val="clear" w:color="auto" w:fill="FFFFFF"/>
        </w:rPr>
      </w:pPr>
      <w:r w:rsidRPr="006D0BF4">
        <w:rPr>
          <w:rFonts w:cs="Times New Roman"/>
          <w:b/>
          <w:color w:val="333333"/>
          <w:shd w:val="clear" w:color="auto" w:fill="FFFFFF"/>
        </w:rPr>
        <w:t>Study overview</w:t>
      </w:r>
    </w:p>
    <w:p w:rsidR="006F794C" w:rsidRDefault="006D0BF4" w:rsidP="00FB4188">
      <w:pPr>
        <w:spacing w:after="200"/>
        <w:rPr>
          <w:rFonts w:cs="Times New Roman"/>
        </w:rPr>
      </w:pPr>
      <w:r w:rsidRPr="006D0BF4">
        <w:rPr>
          <w:rFonts w:cs="Times New Roman"/>
        </w:rPr>
        <w:t>This study developed a risk model and used this model to predict health outcome for patients with locally advanced and metastatic NSCLC</w:t>
      </w:r>
      <w:r w:rsidR="006F794C">
        <w:rPr>
          <w:rFonts w:cs="Times New Roman"/>
        </w:rPr>
        <w:t xml:space="preserve">, constituting </w:t>
      </w:r>
      <w:r w:rsidRPr="006D0BF4">
        <w:rPr>
          <w:rFonts w:cs="Times New Roman"/>
        </w:rPr>
        <w:t xml:space="preserve">a retrospective, observational, new-user cohort study. </w:t>
      </w:r>
    </w:p>
    <w:p w:rsidR="006D0BF4" w:rsidRPr="006D0BF4" w:rsidRDefault="006D0BF4" w:rsidP="006D0BF4">
      <w:pPr>
        <w:rPr>
          <w:rFonts w:cs="Times New Roman"/>
          <w:b/>
          <w:color w:val="333333"/>
          <w:shd w:val="clear" w:color="auto" w:fill="FFFFFF"/>
        </w:rPr>
      </w:pPr>
      <w:r>
        <w:rPr>
          <w:rFonts w:cs="Times New Roman"/>
          <w:b/>
          <w:color w:val="333333"/>
          <w:shd w:val="clear" w:color="auto" w:fill="FFFFFF"/>
        </w:rPr>
        <w:t xml:space="preserve">Study </w:t>
      </w:r>
      <w:r w:rsidR="00540E53">
        <w:rPr>
          <w:rFonts w:cs="Times New Roman"/>
          <w:b/>
          <w:color w:val="333333"/>
          <w:shd w:val="clear" w:color="auto" w:fill="FFFFFF"/>
        </w:rPr>
        <w:t>Design</w:t>
      </w:r>
    </w:p>
    <w:p w:rsidR="006D0BF4" w:rsidRDefault="006D0BF4" w:rsidP="00E86908">
      <w:pPr>
        <w:rPr>
          <w:shd w:val="clear" w:color="auto" w:fill="FFFFFF"/>
        </w:rPr>
      </w:pPr>
      <w:r w:rsidRPr="006D0BF4">
        <w:rPr>
          <w:shd w:val="clear" w:color="auto" w:fill="FFFFFF"/>
        </w:rPr>
        <w:t xml:space="preserve">All subjects in the database were included who meet the following criteria: </w:t>
      </w:r>
    </w:p>
    <w:p w:rsidR="006D0BF4" w:rsidRPr="00E86908" w:rsidRDefault="006D0BF4" w:rsidP="00E86908">
      <w:pPr>
        <w:pStyle w:val="ListParagraph"/>
        <w:numPr>
          <w:ilvl w:val="0"/>
          <w:numId w:val="8"/>
        </w:numPr>
        <w:spacing w:line="240" w:lineRule="auto"/>
        <w:ind w:left="714" w:hanging="357"/>
        <w:rPr>
          <w:shd w:val="clear" w:color="auto" w:fill="FFFFFF"/>
        </w:rPr>
      </w:pPr>
      <w:r w:rsidRPr="00E86908">
        <w:rPr>
          <w:shd w:val="clear" w:color="auto" w:fill="FFFFFF"/>
        </w:rPr>
        <w:t>Exposure to at least 1 of ALK inhibitors (</w:t>
      </w:r>
      <w:proofErr w:type="spellStart"/>
      <w:r w:rsidRPr="00E86908">
        <w:rPr>
          <w:shd w:val="clear" w:color="auto" w:fill="FFFFFF"/>
        </w:rPr>
        <w:t>crizotinib</w:t>
      </w:r>
      <w:proofErr w:type="spellEnd"/>
      <w:r w:rsidRPr="00E86908">
        <w:rPr>
          <w:shd w:val="clear" w:color="auto" w:fill="FFFFFF"/>
        </w:rPr>
        <w:t xml:space="preserve">, </w:t>
      </w:r>
      <w:proofErr w:type="spellStart"/>
      <w:r w:rsidRPr="00E86908">
        <w:rPr>
          <w:shd w:val="clear" w:color="auto" w:fill="FFFFFF"/>
        </w:rPr>
        <w:t>ceritinib</w:t>
      </w:r>
      <w:proofErr w:type="spellEnd"/>
      <w:r w:rsidRPr="00E86908">
        <w:rPr>
          <w:shd w:val="clear" w:color="auto" w:fill="FFFFFF"/>
        </w:rPr>
        <w:t xml:space="preserve"> or </w:t>
      </w:r>
      <w:proofErr w:type="spellStart"/>
      <w:r w:rsidRPr="00E86908">
        <w:rPr>
          <w:shd w:val="clear" w:color="auto" w:fill="FFFFFF"/>
        </w:rPr>
        <w:t>alectinib</w:t>
      </w:r>
      <w:proofErr w:type="spellEnd"/>
      <w:r w:rsidRPr="00E86908">
        <w:rPr>
          <w:shd w:val="clear" w:color="auto" w:fill="FFFFFF"/>
        </w:rPr>
        <w:t>)</w:t>
      </w:r>
    </w:p>
    <w:p w:rsidR="006D0BF4" w:rsidRPr="00E86908" w:rsidRDefault="006D0BF4" w:rsidP="00E86908">
      <w:pPr>
        <w:pStyle w:val="ListParagraph"/>
        <w:numPr>
          <w:ilvl w:val="0"/>
          <w:numId w:val="8"/>
        </w:numPr>
        <w:spacing w:line="240" w:lineRule="auto"/>
        <w:ind w:left="714" w:hanging="357"/>
        <w:rPr>
          <w:shd w:val="clear" w:color="auto" w:fill="FFFFFF"/>
        </w:rPr>
      </w:pPr>
      <w:r w:rsidRPr="00E86908">
        <w:rPr>
          <w:shd w:val="clear" w:color="auto" w:fill="FFFFFF"/>
        </w:rPr>
        <w:t>At least 182 days of observation time prior to the index date</w:t>
      </w:r>
    </w:p>
    <w:p w:rsidR="006D0BF4" w:rsidRPr="00E86908" w:rsidRDefault="006D0BF4" w:rsidP="00E86908">
      <w:pPr>
        <w:pStyle w:val="ListParagraph"/>
        <w:numPr>
          <w:ilvl w:val="0"/>
          <w:numId w:val="8"/>
        </w:numPr>
        <w:spacing w:line="240" w:lineRule="auto"/>
        <w:ind w:left="714" w:hanging="357"/>
        <w:rPr>
          <w:shd w:val="clear" w:color="auto" w:fill="FFFFFF"/>
        </w:rPr>
      </w:pPr>
      <w:r w:rsidRPr="00E86908">
        <w:rPr>
          <w:shd w:val="clear" w:color="auto" w:fill="FFFFFF"/>
        </w:rPr>
        <w:t>AT least 18 years of age at the first diagnose date (diagnose is locally advanced or metastatic NSCLC)</w:t>
      </w:r>
    </w:p>
    <w:p w:rsidR="006D0BF4" w:rsidRPr="006D0BF4" w:rsidRDefault="006D0BF4" w:rsidP="00E86908">
      <w:pPr>
        <w:pStyle w:val="ListParagraph"/>
        <w:numPr>
          <w:ilvl w:val="0"/>
          <w:numId w:val="8"/>
        </w:numPr>
        <w:spacing w:line="240" w:lineRule="auto"/>
        <w:ind w:left="714" w:hanging="357"/>
      </w:pPr>
      <w:r w:rsidRPr="006D0BF4">
        <w:t>Absence of other cancer during the wash-out period</w:t>
      </w:r>
    </w:p>
    <w:p w:rsidR="00344ABA" w:rsidRPr="00FB4188" w:rsidRDefault="006D0BF4" w:rsidP="00FB4188">
      <w:pPr>
        <w:pStyle w:val="ListParagraph"/>
        <w:numPr>
          <w:ilvl w:val="0"/>
          <w:numId w:val="8"/>
        </w:numPr>
        <w:spacing w:after="200" w:line="240" w:lineRule="auto"/>
        <w:ind w:left="714" w:hanging="357"/>
        <w:rPr>
          <w:shd w:val="clear" w:color="auto" w:fill="FFFFFF"/>
        </w:rPr>
      </w:pPr>
      <w:r w:rsidRPr="00FB4188">
        <w:rPr>
          <w:shd w:val="clear" w:color="auto" w:fill="FFFFFF"/>
        </w:rPr>
        <w:t xml:space="preserve">At least 2-month gap in treatment after the previous regimen was </w:t>
      </w:r>
      <w:r w:rsidR="00FB4188">
        <w:rPr>
          <w:shd w:val="clear" w:color="auto" w:fill="FFFFFF"/>
        </w:rPr>
        <w:t>allowed prior to the index date.</w:t>
      </w:r>
    </w:p>
    <w:p w:rsidR="0063624C" w:rsidRDefault="006A5829" w:rsidP="006D0BF4">
      <w:r>
        <w:t xml:space="preserve">The primary outcome for each treated patient is </w:t>
      </w:r>
      <w:r w:rsidR="00CE134A">
        <w:t xml:space="preserve">response or </w:t>
      </w:r>
      <w:r w:rsidR="00AA3796">
        <w:t xml:space="preserve">non-response to treatment. Patients were assumed to </w:t>
      </w:r>
      <w:r w:rsidR="00CE134A">
        <w:t>be a non-</w:t>
      </w:r>
      <w:r w:rsidR="00AA3796">
        <w:t>respond</w:t>
      </w:r>
      <w:r w:rsidR="00CE134A">
        <w:t>er</w:t>
      </w:r>
      <w:r w:rsidR="00AA3796">
        <w:t xml:space="preserve"> </w:t>
      </w:r>
      <w:r w:rsidR="00FB4188">
        <w:t>if</w:t>
      </w:r>
      <w:r w:rsidR="0063624C">
        <w:t>:</w:t>
      </w:r>
    </w:p>
    <w:p w:rsidR="0063624C" w:rsidRDefault="0063624C" w:rsidP="006A5829">
      <w:pPr>
        <w:pStyle w:val="ListParagraph"/>
        <w:numPr>
          <w:ilvl w:val="0"/>
          <w:numId w:val="6"/>
        </w:numPr>
      </w:pPr>
      <w:r>
        <w:lastRenderedPageBreak/>
        <w:t xml:space="preserve">A new line of therapy </w:t>
      </w:r>
      <w:r w:rsidR="00FB4188">
        <w:t>started</w:t>
      </w:r>
      <w:r>
        <w:t xml:space="preserve"> after at least 60 days gap </w:t>
      </w:r>
    </w:p>
    <w:p w:rsidR="0063624C" w:rsidRDefault="0063624C" w:rsidP="006A5829">
      <w:pPr>
        <w:pStyle w:val="ListParagraph"/>
        <w:numPr>
          <w:ilvl w:val="0"/>
          <w:numId w:val="6"/>
        </w:numPr>
      </w:pPr>
      <w:r>
        <w:t>Treatment with another standard chemotherapy was initiated</w:t>
      </w:r>
    </w:p>
    <w:p w:rsidR="0063624C" w:rsidRDefault="0063624C" w:rsidP="0063624C">
      <w:pPr>
        <w:pStyle w:val="ListParagraph"/>
        <w:numPr>
          <w:ilvl w:val="0"/>
          <w:numId w:val="6"/>
        </w:numPr>
      </w:pPr>
      <w:r>
        <w:t>S</w:t>
      </w:r>
      <w:r w:rsidR="00E86908">
        <w:t xml:space="preserve">urgical or </w:t>
      </w:r>
      <w:proofErr w:type="spellStart"/>
      <w:r w:rsidR="00E86908">
        <w:t>radiotherapeutic</w:t>
      </w:r>
      <w:proofErr w:type="spellEnd"/>
      <w:r w:rsidR="00E86908">
        <w:t xml:space="preserve"> </w:t>
      </w:r>
      <w:r>
        <w:t>procedures were administrated</w:t>
      </w:r>
    </w:p>
    <w:p w:rsidR="006D0BF4" w:rsidRPr="00FB4188" w:rsidRDefault="00CE134A" w:rsidP="006A5829">
      <w:pPr>
        <w:rPr>
          <w:lang w:val="uk-UA"/>
        </w:rPr>
      </w:pPr>
      <w:r>
        <w:t xml:space="preserve">If none of these occurred within a window of observation the patient was considered a responder. </w:t>
      </w:r>
      <w:r w:rsidR="006D0BF4" w:rsidRPr="00826B2D">
        <w:t>As the data set had privacy limitations on death information, mortality couldn't be considered.</w:t>
      </w:r>
      <w:r w:rsidR="00AA3796">
        <w:t xml:space="preserve"> </w:t>
      </w:r>
    </w:p>
    <w:p w:rsidR="006D0BF4" w:rsidRPr="00034C79" w:rsidRDefault="006358ED" w:rsidP="006D0BF4">
      <w:r>
        <w:t xml:space="preserve">Response was observed in three different observations </w:t>
      </w:r>
      <w:r w:rsidR="006D0BF4" w:rsidRPr="00826B2D">
        <w:t>window</w:t>
      </w:r>
      <w:r>
        <w:t>s:</w:t>
      </w:r>
    </w:p>
    <w:p w:rsidR="006D0BF4" w:rsidRPr="00826B2D" w:rsidRDefault="006D0BF4" w:rsidP="006358ED">
      <w:pPr>
        <w:pStyle w:val="ListParagraph"/>
        <w:numPr>
          <w:ilvl w:val="0"/>
          <w:numId w:val="6"/>
        </w:numPr>
      </w:pPr>
      <w:r w:rsidRPr="00826B2D">
        <w:t>at any time after index date </w:t>
      </w:r>
      <w:r w:rsidRPr="00034C79">
        <w:t>(</w:t>
      </w:r>
      <w:r w:rsidR="006358ED">
        <w:t xml:space="preserve">observation window </w:t>
      </w:r>
      <w:r w:rsidR="00AA3796">
        <w:t>1</w:t>
      </w:r>
      <w:r w:rsidRPr="00034C79">
        <w:t>)</w:t>
      </w:r>
    </w:p>
    <w:p w:rsidR="006D0BF4" w:rsidRPr="00826B2D" w:rsidRDefault="006D0BF4" w:rsidP="006358ED">
      <w:pPr>
        <w:pStyle w:val="ListParagraph"/>
        <w:numPr>
          <w:ilvl w:val="0"/>
          <w:numId w:val="6"/>
        </w:numPr>
      </w:pPr>
      <w:r w:rsidRPr="00826B2D">
        <w:t>≤</w:t>
      </w:r>
      <w:r w:rsidR="006358ED">
        <w:t xml:space="preserve"> </w:t>
      </w:r>
      <w:r w:rsidRPr="00826B2D">
        <w:t>6 months after the index date </w:t>
      </w:r>
      <w:r w:rsidRPr="00034C79">
        <w:t>(</w:t>
      </w:r>
      <w:r w:rsidR="006358ED">
        <w:t xml:space="preserve">observation window </w:t>
      </w:r>
      <w:r w:rsidR="00AA3796">
        <w:t>2</w:t>
      </w:r>
      <w:r w:rsidRPr="00034C79">
        <w:t>)</w:t>
      </w:r>
    </w:p>
    <w:p w:rsidR="00FB4188" w:rsidRPr="00B32779" w:rsidRDefault="006D0BF4" w:rsidP="00540E53">
      <w:pPr>
        <w:pStyle w:val="ListParagraph"/>
        <w:numPr>
          <w:ilvl w:val="0"/>
          <w:numId w:val="6"/>
        </w:numPr>
        <w:rPr>
          <w:b/>
        </w:rPr>
      </w:pPr>
      <w:r w:rsidRPr="00826B2D">
        <w:t>≤</w:t>
      </w:r>
      <w:r w:rsidR="006358ED">
        <w:t xml:space="preserve"> </w:t>
      </w:r>
      <w:r w:rsidRPr="00826B2D">
        <w:t>1 year after the index date </w:t>
      </w:r>
      <w:r w:rsidRPr="00034C79">
        <w:t>(</w:t>
      </w:r>
      <w:r w:rsidR="006358ED">
        <w:t xml:space="preserve">observation window </w:t>
      </w:r>
      <w:r w:rsidR="00AA3796">
        <w:t>3</w:t>
      </w:r>
      <w:r w:rsidRPr="00034C79">
        <w:t>)</w:t>
      </w:r>
    </w:p>
    <w:p w:rsidR="00540E53" w:rsidRPr="00344ABA" w:rsidRDefault="00540E53" w:rsidP="00540E53">
      <w:pPr>
        <w:spacing w:after="200"/>
        <w:rPr>
          <w:rFonts w:cs="Times New Roman"/>
          <w:color w:val="333333"/>
          <w:shd w:val="clear" w:color="auto" w:fill="FFFFFF"/>
        </w:rPr>
      </w:pPr>
      <w:r>
        <w:rPr>
          <w:rFonts w:cs="Times New Roman"/>
          <w:color w:val="333333"/>
          <w:shd w:val="clear" w:color="auto" w:fill="FFFFFF"/>
        </w:rPr>
        <w:t>For feasibility and development of the study code, we used a commercial US Claims database.</w:t>
      </w:r>
    </w:p>
    <w:p w:rsidR="00344ABA" w:rsidRDefault="00344ABA" w:rsidP="006D0BF4">
      <w:pPr>
        <w:rPr>
          <w:b/>
        </w:rPr>
      </w:pPr>
      <w:r>
        <w:rPr>
          <w:b/>
        </w:rPr>
        <w:t>Distributed Network study</w:t>
      </w:r>
    </w:p>
    <w:p w:rsidR="00344ABA" w:rsidRPr="00D02ADC" w:rsidRDefault="00344ABA" w:rsidP="00B32779">
      <w:pPr>
        <w:spacing w:after="200"/>
      </w:pPr>
      <w:r>
        <w:t>We are planning to execute the study and demonstrate results for a number of US data assets derived from payer-based claims, provider-based claims and EHR systems. We also are planning to post the study as a public OHDSI ne</w:t>
      </w:r>
      <w:r w:rsidR="00FB4188">
        <w:t>twork study and collect results.</w:t>
      </w:r>
    </w:p>
    <w:p w:rsidR="00A72CF3" w:rsidRPr="00A72CF3" w:rsidRDefault="00DE2F3D" w:rsidP="00A72CF3">
      <w:pPr>
        <w:spacing w:line="240" w:lineRule="auto"/>
        <w:rPr>
          <w:rFonts w:eastAsia="Times New Roman" w:cs="Times New Roman"/>
        </w:rPr>
      </w:pPr>
      <w:r w:rsidRPr="006D0BF4">
        <w:rPr>
          <w:rFonts w:eastAsia="Times New Roman" w:cs="Times New Roman"/>
          <w:b/>
          <w:bCs/>
          <w:color w:val="000000"/>
        </w:rPr>
        <w:t>Results</w:t>
      </w:r>
    </w:p>
    <w:p w:rsidR="006F794C" w:rsidRDefault="00344ABA" w:rsidP="006F794C">
      <w:pPr>
        <w:spacing w:line="240" w:lineRule="auto"/>
        <w:rPr>
          <w:rFonts w:eastAsia="Times New Roman" w:cs="Times New Roman"/>
        </w:rPr>
      </w:pPr>
      <w:r>
        <w:rPr>
          <w:rFonts w:eastAsia="Times New Roman" w:cs="Times New Roman"/>
        </w:rPr>
        <w:t xml:space="preserve">The following shows the preliminary results of generated from the database used for development. </w:t>
      </w:r>
    </w:p>
    <w:p w:rsidR="00E86908" w:rsidRDefault="00E86908" w:rsidP="00B32779">
      <w:pPr>
        <w:spacing w:after="200" w:line="240" w:lineRule="auto"/>
        <w:rPr>
          <w:rFonts w:eastAsia="Times New Roman" w:cs="Times New Roman"/>
          <w:lang w:val="de-DE"/>
        </w:rPr>
      </w:pPr>
      <w:r>
        <w:rPr>
          <w:rFonts w:eastAsia="Times New Roman" w:cs="Times New Roman"/>
          <w:lang w:val="de-DE"/>
        </w:rPr>
        <w:t>473 patients could be identified in the development database, which were distributed into responders and non-responders as following:</w:t>
      </w:r>
    </w:p>
    <w:p w:rsidR="00950091" w:rsidRPr="00826B2D" w:rsidRDefault="00950091" w:rsidP="00950091">
      <w:pPr>
        <w:pStyle w:val="ListParagraph"/>
        <w:numPr>
          <w:ilvl w:val="0"/>
          <w:numId w:val="6"/>
        </w:numPr>
      </w:pPr>
      <w:r>
        <w:t xml:space="preserve">observation window 1: 187 responders </w:t>
      </w:r>
      <w:proofErr w:type="spellStart"/>
      <w:r>
        <w:t>vs</w:t>
      </w:r>
      <w:proofErr w:type="spellEnd"/>
      <w:r>
        <w:t xml:space="preserve"> 286 non-responders</w:t>
      </w:r>
    </w:p>
    <w:p w:rsidR="00950091" w:rsidRPr="00826B2D" w:rsidRDefault="00950091" w:rsidP="00950091">
      <w:pPr>
        <w:pStyle w:val="ListParagraph"/>
        <w:numPr>
          <w:ilvl w:val="0"/>
          <w:numId w:val="6"/>
        </w:numPr>
      </w:pPr>
      <w:r>
        <w:t xml:space="preserve">observation window 2: 296 responders </w:t>
      </w:r>
      <w:proofErr w:type="spellStart"/>
      <w:r>
        <w:t>vs</w:t>
      </w:r>
      <w:proofErr w:type="spellEnd"/>
      <w:r>
        <w:t xml:space="preserve"> 177 non-responders</w:t>
      </w:r>
    </w:p>
    <w:p w:rsidR="00950091" w:rsidRPr="00B32779" w:rsidRDefault="00950091" w:rsidP="00950091">
      <w:pPr>
        <w:pStyle w:val="ListParagraph"/>
        <w:numPr>
          <w:ilvl w:val="0"/>
          <w:numId w:val="6"/>
        </w:numPr>
        <w:spacing w:after="200"/>
        <w:rPr>
          <w:b/>
        </w:rPr>
      </w:pPr>
      <w:r>
        <w:t xml:space="preserve">observation window 3: 233 responders </w:t>
      </w:r>
      <w:proofErr w:type="spellStart"/>
      <w:r>
        <w:t>vs</w:t>
      </w:r>
      <w:proofErr w:type="spellEnd"/>
      <w:r>
        <w:t xml:space="preserve"> 240 non-responders</w:t>
      </w:r>
    </w:p>
    <w:p w:rsidR="006D0BF4" w:rsidRDefault="00A72CF3" w:rsidP="00A72CF3">
      <w:pPr>
        <w:spacing w:after="200" w:line="240" w:lineRule="auto"/>
        <w:rPr>
          <w:rFonts w:cs="Times New Roman"/>
        </w:rPr>
      </w:pPr>
      <w:r w:rsidRPr="00034C79">
        <w:t xml:space="preserve">Naive </w:t>
      </w:r>
      <w:proofErr w:type="spellStart"/>
      <w:r w:rsidRPr="00034C79">
        <w:t>Bayes</w:t>
      </w:r>
      <w:proofErr w:type="spellEnd"/>
      <w:r w:rsidRPr="00034C79">
        <w:t xml:space="preserve">, Gradient </w:t>
      </w:r>
      <w:r>
        <w:t>B</w:t>
      </w:r>
      <w:r w:rsidRPr="00034C79">
        <w:t xml:space="preserve">oosting </w:t>
      </w:r>
      <w:r>
        <w:t>M</w:t>
      </w:r>
      <w:r w:rsidRPr="00034C79">
        <w:t xml:space="preserve">achine, </w:t>
      </w:r>
      <w:r>
        <w:t>R</w:t>
      </w:r>
      <w:r w:rsidRPr="00034C79">
        <w:t xml:space="preserve">andom </w:t>
      </w:r>
      <w:r>
        <w:t>F</w:t>
      </w:r>
      <w:r w:rsidRPr="00034C79">
        <w:t xml:space="preserve">orest and </w:t>
      </w:r>
      <w:r>
        <w:t>N</w:t>
      </w:r>
      <w:r w:rsidRPr="00034C79">
        <w:t xml:space="preserve">eural </w:t>
      </w:r>
      <w:r>
        <w:t>Network</w:t>
      </w:r>
      <w:r w:rsidRPr="00A72CF3">
        <w:t xml:space="preserve"> </w:t>
      </w:r>
      <w:r>
        <w:t xml:space="preserve">were trained for each observation window. </w:t>
      </w:r>
      <w:r w:rsidR="00E86908">
        <w:rPr>
          <w:rFonts w:cs="Times New Roman"/>
        </w:rPr>
        <w:t>The preliminary resu</w:t>
      </w:r>
      <w:r>
        <w:rPr>
          <w:rFonts w:cs="Times New Roman"/>
        </w:rPr>
        <w:t>lts for the predictive models w</w:t>
      </w:r>
      <w:r w:rsidR="00E86908">
        <w:rPr>
          <w:rFonts w:cs="Times New Roman"/>
        </w:rPr>
        <w:t>ere as following:</w:t>
      </w:r>
    </w:p>
    <w:tbl>
      <w:tblPr>
        <w:tblW w:w="9268" w:type="dxa"/>
        <w:tblInd w:w="95" w:type="dxa"/>
        <w:tblLook w:val="04A0"/>
      </w:tblPr>
      <w:tblGrid>
        <w:gridCol w:w="967"/>
        <w:gridCol w:w="2056"/>
        <w:gridCol w:w="1249"/>
        <w:gridCol w:w="1249"/>
        <w:gridCol w:w="1249"/>
        <w:gridCol w:w="1249"/>
        <w:gridCol w:w="1249"/>
      </w:tblGrid>
      <w:tr w:rsidR="00E86908" w:rsidRPr="00E86908" w:rsidTr="00A72CF3">
        <w:trPr>
          <w:trHeight w:val="651"/>
        </w:trPr>
        <w:tc>
          <w:tcPr>
            <w:tcW w:w="96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proofErr w:type="spellStart"/>
            <w:r w:rsidRPr="00E86908">
              <w:rPr>
                <w:rFonts w:eastAsia="Times New Roman" w:cs="Times New Roman"/>
                <w:b/>
                <w:bCs/>
                <w:color w:val="000000"/>
                <w:sz w:val="20"/>
                <w:szCs w:val="20"/>
              </w:rPr>
              <w:t>Obs</w:t>
            </w:r>
            <w:proofErr w:type="spellEnd"/>
            <w:r w:rsidRPr="00E86908">
              <w:rPr>
                <w:rFonts w:eastAsia="Times New Roman" w:cs="Times New Roman"/>
                <w:b/>
                <w:bCs/>
                <w:color w:val="000000"/>
                <w:sz w:val="20"/>
                <w:szCs w:val="20"/>
              </w:rPr>
              <w:t xml:space="preserve"> Window</w:t>
            </w:r>
          </w:p>
        </w:tc>
        <w:tc>
          <w:tcPr>
            <w:tcW w:w="2056"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 </w:t>
            </w:r>
          </w:p>
        </w:tc>
        <w:tc>
          <w:tcPr>
            <w:tcW w:w="1249"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 xml:space="preserve">Naive </w:t>
            </w:r>
            <w:proofErr w:type="spellStart"/>
            <w:r w:rsidRPr="00E86908">
              <w:rPr>
                <w:rFonts w:eastAsia="Times New Roman" w:cs="Times New Roman"/>
                <w:b/>
                <w:bCs/>
                <w:color w:val="000000"/>
                <w:sz w:val="20"/>
                <w:szCs w:val="20"/>
              </w:rPr>
              <w:t>Bayes</w:t>
            </w:r>
            <w:proofErr w:type="spellEnd"/>
            <w:r w:rsidRPr="00E86908">
              <w:rPr>
                <w:rFonts w:eastAsia="Times New Roman" w:cs="Times New Roman"/>
                <w:b/>
                <w:bCs/>
                <w:color w:val="000000"/>
                <w:sz w:val="20"/>
                <w:szCs w:val="20"/>
              </w:rPr>
              <w:t> </w:t>
            </w:r>
          </w:p>
        </w:tc>
        <w:tc>
          <w:tcPr>
            <w:tcW w:w="1249"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K-Nearest Neighbors</w:t>
            </w:r>
          </w:p>
        </w:tc>
        <w:tc>
          <w:tcPr>
            <w:tcW w:w="1249"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Gradient Boosting Machine</w:t>
            </w:r>
          </w:p>
        </w:tc>
        <w:tc>
          <w:tcPr>
            <w:tcW w:w="1249"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Random Forest</w:t>
            </w:r>
          </w:p>
        </w:tc>
        <w:tc>
          <w:tcPr>
            <w:tcW w:w="1249" w:type="dxa"/>
            <w:tcBorders>
              <w:top w:val="single" w:sz="4" w:space="0" w:color="auto"/>
              <w:left w:val="nil"/>
              <w:bottom w:val="single" w:sz="4" w:space="0" w:color="auto"/>
              <w:right w:val="single" w:sz="4" w:space="0" w:color="auto"/>
            </w:tcBorders>
            <w:shd w:val="clear" w:color="000000" w:fill="BFBFBF"/>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Neural Network </w:t>
            </w:r>
          </w:p>
        </w:tc>
      </w:tr>
      <w:tr w:rsidR="00E86908" w:rsidRPr="00E86908" w:rsidTr="00A72CF3">
        <w:trPr>
          <w:trHeight w:val="216"/>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any time</w:t>
            </w: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Accuracy,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61.9</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64.4</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64.4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64.4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61.0</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MCC,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19.6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20.9</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22.2</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20.8</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16.4</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Area Under Curve,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65.1</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58.1</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60.4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58.9</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54.2</w:t>
            </w:r>
          </w:p>
        </w:tc>
      </w:tr>
      <w:tr w:rsidR="00E86908" w:rsidRPr="00E86908" w:rsidTr="00A72CF3">
        <w:trPr>
          <w:trHeight w:val="216"/>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 xml:space="preserve">≤ 6 months </w:t>
            </w: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Accuracy, %</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68.6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65.3</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66.1</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68.6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62.7</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MCC, %</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31.5</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18.6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21.2</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28.3</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9.6</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Area Under Curve, %</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68.1</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57.4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60.9</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70.4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61.1</w:t>
            </w:r>
          </w:p>
        </w:tc>
      </w:tr>
      <w:tr w:rsidR="00E86908" w:rsidRPr="00E86908" w:rsidTr="00A72CF3">
        <w:trPr>
          <w:trHeight w:val="216"/>
        </w:trPr>
        <w:tc>
          <w:tcPr>
            <w:tcW w:w="967" w:type="dxa"/>
            <w:vMerge w:val="restart"/>
            <w:tcBorders>
              <w:top w:val="nil"/>
              <w:left w:val="single" w:sz="4" w:space="0" w:color="auto"/>
              <w:bottom w:val="single" w:sz="4" w:space="0" w:color="auto"/>
              <w:right w:val="single" w:sz="4" w:space="0" w:color="auto"/>
            </w:tcBorders>
            <w:shd w:val="clear" w:color="auto" w:fill="auto"/>
            <w:vAlign w:val="center"/>
            <w:hideMark/>
          </w:tcPr>
          <w:p w:rsidR="00E86908" w:rsidRPr="00E86908" w:rsidRDefault="00E86908" w:rsidP="00E86908">
            <w:pPr>
              <w:spacing w:line="240" w:lineRule="auto"/>
              <w:jc w:val="center"/>
              <w:rPr>
                <w:rFonts w:eastAsia="Times New Roman" w:cs="Times New Roman"/>
                <w:b/>
                <w:bCs/>
                <w:color w:val="000000"/>
                <w:sz w:val="20"/>
                <w:szCs w:val="20"/>
              </w:rPr>
            </w:pPr>
            <w:r w:rsidRPr="00E86908">
              <w:rPr>
                <w:rFonts w:eastAsia="Times New Roman" w:cs="Times New Roman"/>
                <w:b/>
                <w:bCs/>
                <w:color w:val="000000"/>
                <w:sz w:val="20"/>
                <w:szCs w:val="20"/>
              </w:rPr>
              <w:t xml:space="preserve">≤ 1 year </w:t>
            </w: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Accuracy,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59.3</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54.2</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61.9</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62.7</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58.5</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MCC,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18.6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8.6</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23.8</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25.4</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17.5</w:t>
            </w:r>
          </w:p>
        </w:tc>
      </w:tr>
      <w:tr w:rsidR="00E86908" w:rsidRPr="00E86908" w:rsidTr="00A72CF3">
        <w:trPr>
          <w:trHeight w:val="216"/>
        </w:trPr>
        <w:tc>
          <w:tcPr>
            <w:tcW w:w="967" w:type="dxa"/>
            <w:vMerge/>
            <w:tcBorders>
              <w:top w:val="nil"/>
              <w:left w:val="single" w:sz="4" w:space="0" w:color="auto"/>
              <w:bottom w:val="single" w:sz="4" w:space="0" w:color="auto"/>
              <w:right w:val="single" w:sz="4" w:space="0" w:color="auto"/>
            </w:tcBorders>
            <w:vAlign w:val="center"/>
            <w:hideMark/>
          </w:tcPr>
          <w:p w:rsidR="00E86908" w:rsidRPr="00E86908" w:rsidRDefault="00E86908" w:rsidP="00E86908">
            <w:pPr>
              <w:spacing w:line="240" w:lineRule="auto"/>
              <w:rPr>
                <w:rFonts w:eastAsia="Times New Roman" w:cs="Times New Roman"/>
                <w:b/>
                <w:bCs/>
                <w:color w:val="000000"/>
                <w:sz w:val="20"/>
                <w:szCs w:val="20"/>
              </w:rPr>
            </w:pPr>
          </w:p>
        </w:tc>
        <w:tc>
          <w:tcPr>
            <w:tcW w:w="2056"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rPr>
                <w:rFonts w:eastAsia="Times New Roman" w:cs="Times New Roman"/>
                <w:color w:val="000000"/>
                <w:sz w:val="20"/>
                <w:szCs w:val="20"/>
              </w:rPr>
            </w:pPr>
            <w:r w:rsidRPr="00E86908">
              <w:rPr>
                <w:rFonts w:eastAsia="Times New Roman" w:cs="Times New Roman"/>
                <w:color w:val="000000"/>
                <w:sz w:val="20"/>
                <w:szCs w:val="20"/>
              </w:rPr>
              <w:t>Area Under Curve, %</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64.9</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50.5</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65.0</w:t>
            </w:r>
          </w:p>
        </w:tc>
        <w:tc>
          <w:tcPr>
            <w:tcW w:w="1249" w:type="dxa"/>
            <w:tcBorders>
              <w:top w:val="nil"/>
              <w:left w:val="nil"/>
              <w:bottom w:val="single" w:sz="4" w:space="0" w:color="auto"/>
              <w:right w:val="single" w:sz="4" w:space="0" w:color="auto"/>
            </w:tcBorders>
            <w:shd w:val="clear" w:color="000000" w:fill="FFFF00"/>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63.9</w:t>
            </w:r>
          </w:p>
        </w:tc>
        <w:tc>
          <w:tcPr>
            <w:tcW w:w="1249" w:type="dxa"/>
            <w:tcBorders>
              <w:top w:val="nil"/>
              <w:left w:val="nil"/>
              <w:bottom w:val="single" w:sz="4" w:space="0" w:color="auto"/>
              <w:right w:val="single" w:sz="4" w:space="0" w:color="auto"/>
            </w:tcBorders>
            <w:shd w:val="clear" w:color="auto" w:fill="auto"/>
            <w:vAlign w:val="bottom"/>
            <w:hideMark/>
          </w:tcPr>
          <w:p w:rsidR="00E86908" w:rsidRPr="00E86908" w:rsidRDefault="00E86908" w:rsidP="00E86908">
            <w:pPr>
              <w:spacing w:line="240" w:lineRule="auto"/>
              <w:jc w:val="right"/>
              <w:rPr>
                <w:rFonts w:eastAsia="Times New Roman" w:cs="Times New Roman"/>
                <w:color w:val="000000"/>
                <w:sz w:val="20"/>
                <w:szCs w:val="20"/>
              </w:rPr>
            </w:pPr>
            <w:r w:rsidRPr="00E86908">
              <w:rPr>
                <w:rFonts w:eastAsia="Times New Roman" w:cs="Times New Roman"/>
                <w:color w:val="000000"/>
                <w:sz w:val="20"/>
                <w:szCs w:val="20"/>
              </w:rPr>
              <w:t>59.1</w:t>
            </w:r>
          </w:p>
        </w:tc>
      </w:tr>
    </w:tbl>
    <w:p w:rsidR="00E86908" w:rsidRPr="006D0BF4" w:rsidRDefault="00E86908" w:rsidP="00950091">
      <w:pPr>
        <w:spacing w:before="200" w:after="200"/>
        <w:rPr>
          <w:rFonts w:cs="Times New Roman"/>
        </w:rPr>
      </w:pPr>
      <w:proofErr w:type="gramStart"/>
      <w:r>
        <w:rPr>
          <w:rFonts w:cs="Times New Roman"/>
        </w:rPr>
        <w:t>Where MCC stands for Mathews Correlation Coefficient.</w:t>
      </w:r>
      <w:proofErr w:type="gramEnd"/>
      <w:r>
        <w:rPr>
          <w:rFonts w:cs="Times New Roman"/>
        </w:rPr>
        <w:t xml:space="preserve"> The yellow models showed the highest accuracy.</w:t>
      </w:r>
    </w:p>
    <w:p w:rsidR="00931799" w:rsidRPr="006D0BF4" w:rsidRDefault="00931799" w:rsidP="00931799">
      <w:pPr>
        <w:spacing w:line="240" w:lineRule="auto"/>
        <w:rPr>
          <w:rFonts w:eastAsia="Times New Roman" w:cs="Times New Roman"/>
        </w:rPr>
      </w:pPr>
      <w:r w:rsidRPr="006D0BF4">
        <w:rPr>
          <w:rFonts w:eastAsia="Times New Roman" w:cs="Times New Roman"/>
          <w:b/>
          <w:bCs/>
          <w:color w:val="000000"/>
        </w:rPr>
        <w:t>Conclusion</w:t>
      </w:r>
    </w:p>
    <w:p w:rsidR="001B71BF" w:rsidRDefault="00E86908" w:rsidP="00931799">
      <w:pPr>
        <w:rPr>
          <w:rFonts w:cs="Times New Roman"/>
          <w:lang w:val="de-DE"/>
        </w:rPr>
      </w:pPr>
      <w:r>
        <w:rPr>
          <w:rFonts w:cs="Times New Roman"/>
          <w:lang w:val="de-DE"/>
        </w:rPr>
        <w:t xml:space="preserve">It is possible to predict treatment outcome for NSCLC patients, but the sample size was rather small to reach conclusions. In particular, the fact that different </w:t>
      </w:r>
      <w:r w:rsidR="006D285E">
        <w:rPr>
          <w:rFonts w:cs="Times New Roman"/>
          <w:lang w:val="de-DE"/>
        </w:rPr>
        <w:t xml:space="preserve">methods </w:t>
      </w:r>
      <w:r>
        <w:rPr>
          <w:rFonts w:cs="Times New Roman"/>
          <w:lang w:val="de-DE"/>
        </w:rPr>
        <w:t xml:space="preserve">generated exactly the same accuracy can be </w:t>
      </w:r>
      <w:r w:rsidR="006D285E">
        <w:rPr>
          <w:rFonts w:cs="Times New Roman"/>
          <w:lang w:val="de-DE"/>
        </w:rPr>
        <w:t>attributed to them probably generating the same effective model. We therefore want to expand the study using the larger OHDSI network.</w:t>
      </w:r>
    </w:p>
    <w:sectPr w:rsidR="001B71BF" w:rsidSect="009317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3B3" w:rsidRDefault="003913B3" w:rsidP="00BC0A4E">
      <w:pPr>
        <w:spacing w:line="240" w:lineRule="auto"/>
      </w:pPr>
      <w:r>
        <w:separator/>
      </w:r>
    </w:p>
  </w:endnote>
  <w:endnote w:type="continuationSeparator" w:id="0">
    <w:p w:rsidR="003913B3" w:rsidRDefault="003913B3" w:rsidP="00BC0A4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3B3" w:rsidRDefault="003913B3" w:rsidP="00BC0A4E">
      <w:pPr>
        <w:spacing w:line="240" w:lineRule="auto"/>
      </w:pPr>
      <w:r>
        <w:separator/>
      </w:r>
    </w:p>
  </w:footnote>
  <w:footnote w:type="continuationSeparator" w:id="0">
    <w:p w:rsidR="003913B3" w:rsidRDefault="003913B3" w:rsidP="00BC0A4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0C54"/>
    <w:multiLevelType w:val="hybridMultilevel"/>
    <w:tmpl w:val="D7AA45FE"/>
    <w:lvl w:ilvl="0" w:tplc="3D08A7A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16709"/>
    <w:multiLevelType w:val="hybridMultilevel"/>
    <w:tmpl w:val="136A143C"/>
    <w:lvl w:ilvl="0" w:tplc="D694AE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6951"/>
    <w:multiLevelType w:val="hybridMultilevel"/>
    <w:tmpl w:val="275A2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3F4BFA"/>
    <w:multiLevelType w:val="multilevel"/>
    <w:tmpl w:val="16CAA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C81D45"/>
    <w:multiLevelType w:val="hybridMultilevel"/>
    <w:tmpl w:val="359C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AE222F"/>
    <w:multiLevelType w:val="hybridMultilevel"/>
    <w:tmpl w:val="146264B0"/>
    <w:lvl w:ilvl="0" w:tplc="D694AE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8D500C"/>
    <w:multiLevelType w:val="hybridMultilevel"/>
    <w:tmpl w:val="2C7276A6"/>
    <w:lvl w:ilvl="0" w:tplc="D694AEC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836527"/>
    <w:multiLevelType w:val="multilevel"/>
    <w:tmpl w:val="C01C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4"/>
  </w:num>
  <w:num w:numId="4">
    <w:abstractNumId w:val="0"/>
  </w:num>
  <w:num w:numId="5">
    <w:abstractNumId w:val="2"/>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4BAA"/>
    <w:rsid w:val="000266AC"/>
    <w:rsid w:val="00043061"/>
    <w:rsid w:val="000B154F"/>
    <w:rsid w:val="000B6879"/>
    <w:rsid w:val="001372E6"/>
    <w:rsid w:val="001843BC"/>
    <w:rsid w:val="001B71BF"/>
    <w:rsid w:val="002746C6"/>
    <w:rsid w:val="002A0377"/>
    <w:rsid w:val="002C593F"/>
    <w:rsid w:val="002E31B8"/>
    <w:rsid w:val="00344ABA"/>
    <w:rsid w:val="00381D9F"/>
    <w:rsid w:val="003913B3"/>
    <w:rsid w:val="00392B2B"/>
    <w:rsid w:val="003B6F53"/>
    <w:rsid w:val="00434BAA"/>
    <w:rsid w:val="004876B5"/>
    <w:rsid w:val="004A55B4"/>
    <w:rsid w:val="004C0C67"/>
    <w:rsid w:val="00513563"/>
    <w:rsid w:val="005242DA"/>
    <w:rsid w:val="00540E53"/>
    <w:rsid w:val="00542EEB"/>
    <w:rsid w:val="00584B5D"/>
    <w:rsid w:val="00592FBF"/>
    <w:rsid w:val="006358ED"/>
    <w:rsid w:val="0063624C"/>
    <w:rsid w:val="00636DEF"/>
    <w:rsid w:val="00677970"/>
    <w:rsid w:val="006A5829"/>
    <w:rsid w:val="006D0BF4"/>
    <w:rsid w:val="006D285E"/>
    <w:rsid w:val="006F794C"/>
    <w:rsid w:val="00701F76"/>
    <w:rsid w:val="007533AB"/>
    <w:rsid w:val="008629BC"/>
    <w:rsid w:val="00931799"/>
    <w:rsid w:val="00950091"/>
    <w:rsid w:val="00A64C85"/>
    <w:rsid w:val="00A72CF3"/>
    <w:rsid w:val="00AA3796"/>
    <w:rsid w:val="00AD09A8"/>
    <w:rsid w:val="00B06AD3"/>
    <w:rsid w:val="00B32779"/>
    <w:rsid w:val="00B90A22"/>
    <w:rsid w:val="00BC0A4E"/>
    <w:rsid w:val="00BE2FF4"/>
    <w:rsid w:val="00C51BAD"/>
    <w:rsid w:val="00CE134A"/>
    <w:rsid w:val="00CE2FBF"/>
    <w:rsid w:val="00D02ADC"/>
    <w:rsid w:val="00DA55FE"/>
    <w:rsid w:val="00DE2F3D"/>
    <w:rsid w:val="00DF320A"/>
    <w:rsid w:val="00E10CC2"/>
    <w:rsid w:val="00E86908"/>
    <w:rsid w:val="00EC2BDC"/>
    <w:rsid w:val="00F0151B"/>
    <w:rsid w:val="00FB4188"/>
    <w:rsid w:val="00FC7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F4"/>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0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C0A4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0A4E"/>
  </w:style>
  <w:style w:type="paragraph" w:styleId="Footer">
    <w:name w:val="footer"/>
    <w:basedOn w:val="Normal"/>
    <w:link w:val="FooterChar"/>
    <w:uiPriority w:val="99"/>
    <w:semiHidden/>
    <w:unhideWhenUsed/>
    <w:rsid w:val="00BC0A4E"/>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C0A4E"/>
  </w:style>
  <w:style w:type="paragraph" w:styleId="NormalWeb">
    <w:name w:val="Normal (Web)"/>
    <w:basedOn w:val="Normal"/>
    <w:uiPriority w:val="99"/>
    <w:unhideWhenUsed/>
    <w:rsid w:val="00931799"/>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6D0BF4"/>
    <w:pPr>
      <w:ind w:left="720"/>
      <w:contextualSpacing/>
    </w:pPr>
  </w:style>
  <w:style w:type="character" w:styleId="Strong">
    <w:name w:val="Strong"/>
    <w:basedOn w:val="DefaultParagraphFont"/>
    <w:uiPriority w:val="22"/>
    <w:qFormat/>
    <w:rsid w:val="006D0BF4"/>
    <w:rPr>
      <w:b/>
      <w:bCs/>
    </w:rPr>
  </w:style>
  <w:style w:type="paragraph" w:styleId="BalloonText">
    <w:name w:val="Balloon Text"/>
    <w:basedOn w:val="Normal"/>
    <w:link w:val="BalloonTextChar"/>
    <w:uiPriority w:val="99"/>
    <w:semiHidden/>
    <w:unhideWhenUsed/>
    <w:rsid w:val="00E869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08"/>
    <w:rPr>
      <w:rFonts w:ascii="Tahoma" w:hAnsi="Tahoma" w:cs="Tahoma"/>
      <w:sz w:val="16"/>
      <w:szCs w:val="16"/>
    </w:rPr>
  </w:style>
  <w:style w:type="character" w:styleId="Emphasis">
    <w:name w:val="Emphasis"/>
    <w:basedOn w:val="DefaultParagraphFont"/>
    <w:uiPriority w:val="20"/>
    <w:qFormat/>
    <w:rsid w:val="002A0377"/>
    <w:rPr>
      <w:i/>
      <w:iCs/>
    </w:rPr>
  </w:style>
</w:styles>
</file>

<file path=word/webSettings.xml><?xml version="1.0" encoding="utf-8"?>
<w:webSettings xmlns:r="http://schemas.openxmlformats.org/officeDocument/2006/relationships" xmlns:w="http://schemas.openxmlformats.org/wordprocessingml/2006/main">
  <w:divs>
    <w:div w:id="1011785">
      <w:bodyDiv w:val="1"/>
      <w:marLeft w:val="0"/>
      <w:marRight w:val="0"/>
      <w:marTop w:val="0"/>
      <w:marBottom w:val="0"/>
      <w:divBdr>
        <w:top w:val="none" w:sz="0" w:space="0" w:color="auto"/>
        <w:left w:val="none" w:sz="0" w:space="0" w:color="auto"/>
        <w:bottom w:val="none" w:sz="0" w:space="0" w:color="auto"/>
        <w:right w:val="none" w:sz="0" w:space="0" w:color="auto"/>
      </w:divBdr>
    </w:div>
    <w:div w:id="183836053">
      <w:bodyDiv w:val="1"/>
      <w:marLeft w:val="0"/>
      <w:marRight w:val="0"/>
      <w:marTop w:val="0"/>
      <w:marBottom w:val="0"/>
      <w:divBdr>
        <w:top w:val="none" w:sz="0" w:space="0" w:color="auto"/>
        <w:left w:val="none" w:sz="0" w:space="0" w:color="auto"/>
        <w:bottom w:val="none" w:sz="0" w:space="0" w:color="auto"/>
        <w:right w:val="none" w:sz="0" w:space="0" w:color="auto"/>
      </w:divBdr>
    </w:div>
    <w:div w:id="294453505">
      <w:bodyDiv w:val="1"/>
      <w:marLeft w:val="0"/>
      <w:marRight w:val="0"/>
      <w:marTop w:val="0"/>
      <w:marBottom w:val="0"/>
      <w:divBdr>
        <w:top w:val="none" w:sz="0" w:space="0" w:color="auto"/>
        <w:left w:val="none" w:sz="0" w:space="0" w:color="auto"/>
        <w:bottom w:val="none" w:sz="0" w:space="0" w:color="auto"/>
        <w:right w:val="none" w:sz="0" w:space="0" w:color="auto"/>
      </w:divBdr>
    </w:div>
    <w:div w:id="295641594">
      <w:bodyDiv w:val="1"/>
      <w:marLeft w:val="0"/>
      <w:marRight w:val="0"/>
      <w:marTop w:val="0"/>
      <w:marBottom w:val="0"/>
      <w:divBdr>
        <w:top w:val="none" w:sz="0" w:space="0" w:color="auto"/>
        <w:left w:val="none" w:sz="0" w:space="0" w:color="auto"/>
        <w:bottom w:val="none" w:sz="0" w:space="0" w:color="auto"/>
        <w:right w:val="none" w:sz="0" w:space="0" w:color="auto"/>
      </w:divBdr>
    </w:div>
    <w:div w:id="320276423">
      <w:bodyDiv w:val="1"/>
      <w:marLeft w:val="0"/>
      <w:marRight w:val="0"/>
      <w:marTop w:val="0"/>
      <w:marBottom w:val="0"/>
      <w:divBdr>
        <w:top w:val="none" w:sz="0" w:space="0" w:color="auto"/>
        <w:left w:val="none" w:sz="0" w:space="0" w:color="auto"/>
        <w:bottom w:val="none" w:sz="0" w:space="0" w:color="auto"/>
        <w:right w:val="none" w:sz="0" w:space="0" w:color="auto"/>
      </w:divBdr>
    </w:div>
    <w:div w:id="591747420">
      <w:bodyDiv w:val="1"/>
      <w:marLeft w:val="0"/>
      <w:marRight w:val="0"/>
      <w:marTop w:val="0"/>
      <w:marBottom w:val="0"/>
      <w:divBdr>
        <w:top w:val="none" w:sz="0" w:space="0" w:color="auto"/>
        <w:left w:val="none" w:sz="0" w:space="0" w:color="auto"/>
        <w:bottom w:val="none" w:sz="0" w:space="0" w:color="auto"/>
        <w:right w:val="none" w:sz="0" w:space="0" w:color="auto"/>
      </w:divBdr>
    </w:div>
    <w:div w:id="604311948">
      <w:bodyDiv w:val="1"/>
      <w:marLeft w:val="0"/>
      <w:marRight w:val="0"/>
      <w:marTop w:val="0"/>
      <w:marBottom w:val="0"/>
      <w:divBdr>
        <w:top w:val="none" w:sz="0" w:space="0" w:color="auto"/>
        <w:left w:val="none" w:sz="0" w:space="0" w:color="auto"/>
        <w:bottom w:val="none" w:sz="0" w:space="0" w:color="auto"/>
        <w:right w:val="none" w:sz="0" w:space="0" w:color="auto"/>
      </w:divBdr>
    </w:div>
    <w:div w:id="900167263">
      <w:bodyDiv w:val="1"/>
      <w:marLeft w:val="0"/>
      <w:marRight w:val="0"/>
      <w:marTop w:val="0"/>
      <w:marBottom w:val="0"/>
      <w:divBdr>
        <w:top w:val="none" w:sz="0" w:space="0" w:color="auto"/>
        <w:left w:val="none" w:sz="0" w:space="0" w:color="auto"/>
        <w:bottom w:val="none" w:sz="0" w:space="0" w:color="auto"/>
        <w:right w:val="none" w:sz="0" w:space="0" w:color="auto"/>
      </w:divBdr>
      <w:divsChild>
        <w:div w:id="1525092149">
          <w:marLeft w:val="0"/>
          <w:marRight w:val="0"/>
          <w:marTop w:val="0"/>
          <w:marBottom w:val="0"/>
          <w:divBdr>
            <w:top w:val="none" w:sz="0" w:space="0" w:color="auto"/>
            <w:left w:val="none" w:sz="0" w:space="0" w:color="auto"/>
            <w:bottom w:val="none" w:sz="0" w:space="0" w:color="auto"/>
            <w:right w:val="none" w:sz="0" w:space="0" w:color="auto"/>
          </w:divBdr>
        </w:div>
      </w:divsChild>
    </w:div>
    <w:div w:id="986280455">
      <w:bodyDiv w:val="1"/>
      <w:marLeft w:val="0"/>
      <w:marRight w:val="0"/>
      <w:marTop w:val="0"/>
      <w:marBottom w:val="0"/>
      <w:divBdr>
        <w:top w:val="none" w:sz="0" w:space="0" w:color="auto"/>
        <w:left w:val="none" w:sz="0" w:space="0" w:color="auto"/>
        <w:bottom w:val="none" w:sz="0" w:space="0" w:color="auto"/>
        <w:right w:val="none" w:sz="0" w:space="0" w:color="auto"/>
      </w:divBdr>
    </w:div>
    <w:div w:id="1123034028">
      <w:bodyDiv w:val="1"/>
      <w:marLeft w:val="0"/>
      <w:marRight w:val="0"/>
      <w:marTop w:val="0"/>
      <w:marBottom w:val="0"/>
      <w:divBdr>
        <w:top w:val="none" w:sz="0" w:space="0" w:color="auto"/>
        <w:left w:val="none" w:sz="0" w:space="0" w:color="auto"/>
        <w:bottom w:val="none" w:sz="0" w:space="0" w:color="auto"/>
        <w:right w:val="none" w:sz="0" w:space="0" w:color="auto"/>
      </w:divBdr>
    </w:div>
    <w:div w:id="1156611023">
      <w:bodyDiv w:val="1"/>
      <w:marLeft w:val="0"/>
      <w:marRight w:val="0"/>
      <w:marTop w:val="0"/>
      <w:marBottom w:val="0"/>
      <w:divBdr>
        <w:top w:val="none" w:sz="0" w:space="0" w:color="auto"/>
        <w:left w:val="none" w:sz="0" w:space="0" w:color="auto"/>
        <w:bottom w:val="none" w:sz="0" w:space="0" w:color="auto"/>
        <w:right w:val="none" w:sz="0" w:space="0" w:color="auto"/>
      </w:divBdr>
    </w:div>
    <w:div w:id="1217667148">
      <w:bodyDiv w:val="1"/>
      <w:marLeft w:val="0"/>
      <w:marRight w:val="0"/>
      <w:marTop w:val="0"/>
      <w:marBottom w:val="0"/>
      <w:divBdr>
        <w:top w:val="none" w:sz="0" w:space="0" w:color="auto"/>
        <w:left w:val="none" w:sz="0" w:space="0" w:color="auto"/>
        <w:bottom w:val="none" w:sz="0" w:space="0" w:color="auto"/>
        <w:right w:val="none" w:sz="0" w:space="0" w:color="auto"/>
      </w:divBdr>
    </w:div>
    <w:div w:id="1326125566">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12699542">
      <w:bodyDiv w:val="1"/>
      <w:marLeft w:val="0"/>
      <w:marRight w:val="0"/>
      <w:marTop w:val="0"/>
      <w:marBottom w:val="0"/>
      <w:divBdr>
        <w:top w:val="none" w:sz="0" w:space="0" w:color="auto"/>
        <w:left w:val="none" w:sz="0" w:space="0" w:color="auto"/>
        <w:bottom w:val="none" w:sz="0" w:space="0" w:color="auto"/>
        <w:right w:val="none" w:sz="0" w:space="0" w:color="auto"/>
      </w:divBdr>
    </w:div>
    <w:div w:id="1587694178">
      <w:bodyDiv w:val="1"/>
      <w:marLeft w:val="0"/>
      <w:marRight w:val="0"/>
      <w:marTop w:val="0"/>
      <w:marBottom w:val="0"/>
      <w:divBdr>
        <w:top w:val="none" w:sz="0" w:space="0" w:color="auto"/>
        <w:left w:val="none" w:sz="0" w:space="0" w:color="auto"/>
        <w:bottom w:val="none" w:sz="0" w:space="0" w:color="auto"/>
        <w:right w:val="none" w:sz="0" w:space="0" w:color="auto"/>
      </w:divBdr>
    </w:div>
    <w:div w:id="1725329879">
      <w:bodyDiv w:val="1"/>
      <w:marLeft w:val="0"/>
      <w:marRight w:val="0"/>
      <w:marTop w:val="0"/>
      <w:marBottom w:val="0"/>
      <w:divBdr>
        <w:top w:val="none" w:sz="0" w:space="0" w:color="auto"/>
        <w:left w:val="none" w:sz="0" w:space="0" w:color="auto"/>
        <w:bottom w:val="none" w:sz="0" w:space="0" w:color="auto"/>
        <w:right w:val="none" w:sz="0" w:space="0" w:color="auto"/>
      </w:divBdr>
    </w:div>
    <w:div w:id="19408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A945C-5A77-4126-A38E-70298436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2</Pages>
  <Words>1102</Words>
  <Characters>6283</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dc:creator>
  <cp:lastModifiedBy>christian</cp:lastModifiedBy>
  <cp:revision>4</cp:revision>
  <cp:lastPrinted>2017-09-01T01:07:00Z</cp:lastPrinted>
  <dcterms:created xsi:type="dcterms:W3CDTF">2017-09-02T19:20:00Z</dcterms:created>
  <dcterms:modified xsi:type="dcterms:W3CDTF">2017-09-03T21:03:00Z</dcterms:modified>
</cp:coreProperties>
</file>