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E52" w:rsidRPr="00292E52" w:rsidRDefault="00292E52" w:rsidP="00292E52">
      <w:pPr>
        <w:spacing w:after="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219"/>
        <w:gridCol w:w="2278"/>
      </w:tblGrid>
      <w:tr w:rsidR="00292E52" w:rsidRPr="00292E52" w:rsidTr="00292E52">
        <w:trPr>
          <w:trHeight w:val="1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92E52" w:rsidRPr="00292E52" w:rsidRDefault="00292E52" w:rsidP="00292E52">
            <w:pPr>
              <w:spacing w:after="0" w:line="240" w:lineRule="auto"/>
              <w:rPr>
                <w:rFonts w:ascii="Times New Roman" w:eastAsia="Times New Roman" w:hAnsi="Times New Roman" w:cs="Times New Roman"/>
                <w:sz w:val="24"/>
                <w:szCs w:val="24"/>
              </w:rPr>
            </w:pPr>
            <w:r w:rsidRPr="00292E52">
              <w:rPr>
                <w:rFonts w:ascii="Times New Roman" w:eastAsia="Times New Roman" w:hAnsi="Times New Roman" w:cs="Times New Roman"/>
                <w:color w:val="000000"/>
                <w:sz w:val="20"/>
                <w:szCs w:val="20"/>
              </w:rPr>
              <w:t>Name: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92E52" w:rsidRPr="00292E52" w:rsidRDefault="00292E52" w:rsidP="00292E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Clair Blacketer</w:t>
            </w:r>
          </w:p>
        </w:tc>
      </w:tr>
      <w:tr w:rsidR="00292E52" w:rsidRPr="00292E52" w:rsidTr="00292E52">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92E52" w:rsidRPr="00292E52" w:rsidRDefault="00292E52" w:rsidP="00292E52">
            <w:pPr>
              <w:spacing w:after="0" w:line="240" w:lineRule="auto"/>
              <w:rPr>
                <w:rFonts w:ascii="Times New Roman" w:eastAsia="Times New Roman" w:hAnsi="Times New Roman" w:cs="Times New Roman"/>
                <w:sz w:val="24"/>
                <w:szCs w:val="24"/>
              </w:rPr>
            </w:pPr>
            <w:r w:rsidRPr="00292E52">
              <w:rPr>
                <w:rFonts w:ascii="Times New Roman" w:eastAsia="Times New Roman" w:hAnsi="Times New Roman" w:cs="Times New Roman"/>
                <w:color w:val="000000"/>
                <w:sz w:val="20"/>
                <w:szCs w:val="20"/>
              </w:rPr>
              <w:t>Affiliation: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92E52" w:rsidRPr="00292E52" w:rsidRDefault="00292E52" w:rsidP="00292E52">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Janssen R&amp;D</w:t>
            </w:r>
          </w:p>
        </w:tc>
      </w:tr>
      <w:tr w:rsidR="00292E52" w:rsidRPr="00292E52" w:rsidTr="00292E52">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92E52" w:rsidRPr="00292E52" w:rsidRDefault="00292E52" w:rsidP="00292E52">
            <w:pPr>
              <w:spacing w:after="0" w:line="240" w:lineRule="auto"/>
              <w:rPr>
                <w:rFonts w:ascii="Times New Roman" w:eastAsia="Times New Roman" w:hAnsi="Times New Roman" w:cs="Times New Roman"/>
                <w:sz w:val="24"/>
                <w:szCs w:val="24"/>
              </w:rPr>
            </w:pPr>
            <w:r w:rsidRPr="00292E52">
              <w:rPr>
                <w:rFonts w:ascii="Times New Roman" w:eastAsia="Times New Roman" w:hAnsi="Times New Roman" w:cs="Times New Roman"/>
                <w:color w:val="000000"/>
                <w:sz w:val="20"/>
                <w:szCs w:val="20"/>
              </w:rPr>
              <w:t>Email: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92E52" w:rsidRPr="00292E52" w:rsidRDefault="00292E52" w:rsidP="00292E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mblacke@its.jnj.com</w:t>
            </w:r>
          </w:p>
        </w:tc>
      </w:tr>
      <w:tr w:rsidR="00292E52" w:rsidRPr="00292E52" w:rsidTr="00292E52">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92E52" w:rsidRPr="00292E52" w:rsidRDefault="00292E52" w:rsidP="00292E52">
            <w:pPr>
              <w:spacing w:after="0" w:line="240" w:lineRule="auto"/>
              <w:rPr>
                <w:rFonts w:ascii="Times New Roman" w:eastAsia="Times New Roman" w:hAnsi="Times New Roman" w:cs="Times New Roman"/>
                <w:sz w:val="24"/>
                <w:szCs w:val="24"/>
              </w:rPr>
            </w:pPr>
            <w:r w:rsidRPr="00292E52">
              <w:rPr>
                <w:rFonts w:ascii="Times New Roman" w:eastAsia="Times New Roman" w:hAnsi="Times New Roman" w:cs="Times New Roman"/>
                <w:color w:val="000000"/>
                <w:sz w:val="20"/>
                <w:szCs w:val="20"/>
              </w:rPr>
              <w:t xml:space="preserve">Presentation </w:t>
            </w:r>
          </w:p>
          <w:p w:rsidR="00292E52" w:rsidRPr="00292E52" w:rsidRDefault="00292E52" w:rsidP="00292E52">
            <w:pPr>
              <w:spacing w:after="0" w:line="240" w:lineRule="auto"/>
              <w:rPr>
                <w:rFonts w:ascii="Times New Roman" w:eastAsia="Times New Roman" w:hAnsi="Times New Roman" w:cs="Times New Roman"/>
                <w:sz w:val="24"/>
                <w:szCs w:val="24"/>
              </w:rPr>
            </w:pPr>
            <w:r w:rsidRPr="00292E52">
              <w:rPr>
                <w:rFonts w:ascii="Times New Roman" w:eastAsia="Times New Roman" w:hAnsi="Times New Roman" w:cs="Times New Roman"/>
                <w:color w:val="000000"/>
                <w:sz w:val="20"/>
                <w:szCs w:val="20"/>
              </w:rPr>
              <w:t xml:space="preserve">type (s):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92E52" w:rsidRPr="00292E52" w:rsidRDefault="00292E52" w:rsidP="00292E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Poster </w:t>
            </w:r>
          </w:p>
        </w:tc>
      </w:tr>
    </w:tbl>
    <w:p w:rsidR="00292E52" w:rsidRPr="00292E52" w:rsidRDefault="00292E52" w:rsidP="00292E52">
      <w:pPr>
        <w:spacing w:after="0" w:line="240" w:lineRule="auto"/>
        <w:rPr>
          <w:rFonts w:ascii="Times New Roman" w:eastAsia="Times New Roman" w:hAnsi="Times New Roman" w:cs="Times New Roman"/>
          <w:sz w:val="24"/>
          <w:szCs w:val="24"/>
        </w:rPr>
      </w:pPr>
    </w:p>
    <w:p w:rsidR="00292E52" w:rsidRPr="00292E52" w:rsidRDefault="00FE3EB0" w:rsidP="00292E52">
      <w:pPr>
        <w:spacing w:after="2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Creating a Framework for Evaluating Open Healthcare Claims Using the OMOP Common Data Model</w:t>
      </w:r>
    </w:p>
    <w:p w:rsidR="00292E52" w:rsidRPr="008D06DB" w:rsidRDefault="00292E52" w:rsidP="00292E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Clair Blacketer</w:t>
      </w:r>
      <w:r w:rsidRPr="00292E52">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MPH</w:t>
      </w:r>
      <w:r w:rsidRPr="00C3196D">
        <w:rPr>
          <w:rFonts w:ascii="Times New Roman" w:eastAsia="Times New Roman" w:hAnsi="Times New Roman" w:cs="Times New Roman"/>
          <w:b/>
          <w:bCs/>
          <w:color w:val="000000"/>
          <w:sz w:val="20"/>
          <w:szCs w:val="14"/>
          <w:vertAlign w:val="superscript"/>
        </w:rPr>
        <w:t>1</w:t>
      </w:r>
      <w:r w:rsidR="00C3196D" w:rsidRPr="00C3196D">
        <w:rPr>
          <w:rFonts w:ascii="Times New Roman" w:eastAsia="Times New Roman" w:hAnsi="Times New Roman" w:cs="Times New Roman"/>
          <w:b/>
          <w:bCs/>
          <w:color w:val="000000"/>
          <w:sz w:val="20"/>
          <w:szCs w:val="14"/>
          <w:vertAlign w:val="superscript"/>
        </w:rPr>
        <w:t>,2</w:t>
      </w:r>
      <w:r w:rsidR="00732DF9">
        <w:rPr>
          <w:rFonts w:ascii="Times New Roman" w:eastAsia="Times New Roman" w:hAnsi="Times New Roman" w:cs="Times New Roman"/>
          <w:b/>
          <w:bCs/>
          <w:color w:val="000000"/>
          <w:sz w:val="24"/>
          <w:szCs w:val="24"/>
        </w:rPr>
        <w:t xml:space="preserve">, </w:t>
      </w:r>
      <w:bookmarkStart w:id="0" w:name="_GoBack"/>
      <w:bookmarkEnd w:id="0"/>
      <w:r w:rsidR="00732DF9">
        <w:rPr>
          <w:rFonts w:ascii="Times New Roman" w:eastAsia="Times New Roman" w:hAnsi="Times New Roman" w:cs="Times New Roman"/>
          <w:b/>
          <w:bCs/>
          <w:color w:val="000000"/>
          <w:sz w:val="24"/>
          <w:szCs w:val="24"/>
        </w:rPr>
        <w:t>Erica A Voss, MPH</w:t>
      </w:r>
      <w:r w:rsidR="00732DF9" w:rsidRPr="00C3196D">
        <w:rPr>
          <w:rFonts w:ascii="Times New Roman" w:eastAsia="Times New Roman" w:hAnsi="Times New Roman" w:cs="Times New Roman"/>
          <w:b/>
          <w:bCs/>
          <w:color w:val="000000"/>
          <w:sz w:val="20"/>
          <w:szCs w:val="14"/>
          <w:vertAlign w:val="superscript"/>
        </w:rPr>
        <w:t>1</w:t>
      </w:r>
      <w:r w:rsidR="00C3196D" w:rsidRPr="00C3196D">
        <w:rPr>
          <w:rFonts w:ascii="Times New Roman" w:eastAsia="Times New Roman" w:hAnsi="Times New Roman" w:cs="Times New Roman"/>
          <w:b/>
          <w:bCs/>
          <w:color w:val="000000"/>
          <w:sz w:val="20"/>
          <w:szCs w:val="14"/>
          <w:vertAlign w:val="superscript"/>
        </w:rPr>
        <w:t>,2</w:t>
      </w:r>
    </w:p>
    <w:p w:rsidR="008D06DB" w:rsidRDefault="008D06DB" w:rsidP="008D06DB">
      <w:pPr>
        <w:spacing w:after="0" w:line="240" w:lineRule="auto"/>
        <w:jc w:val="center"/>
        <w:rPr>
          <w:rFonts w:ascii="Times New Roman" w:eastAsia="Times New Roman" w:hAnsi="Times New Roman" w:cs="Times New Roman"/>
          <w:b/>
          <w:bCs/>
          <w:color w:val="000000"/>
          <w:sz w:val="24"/>
          <w:szCs w:val="24"/>
        </w:rPr>
      </w:pPr>
    </w:p>
    <w:p w:rsidR="00292E52" w:rsidRPr="00292E52" w:rsidRDefault="00C3196D" w:rsidP="008D06DB">
      <w:pPr>
        <w:spacing w:after="0" w:line="240" w:lineRule="auto"/>
        <w:jc w:val="center"/>
        <w:rPr>
          <w:rFonts w:ascii="Times New Roman" w:eastAsia="Times New Roman" w:hAnsi="Times New Roman" w:cs="Times New Roman"/>
          <w:sz w:val="24"/>
          <w:szCs w:val="24"/>
        </w:rPr>
      </w:pPr>
      <w:r w:rsidRPr="00C3196D">
        <w:rPr>
          <w:rFonts w:ascii="Times New Roman" w:eastAsia="Times New Roman" w:hAnsi="Times New Roman" w:cs="Times New Roman"/>
          <w:b/>
          <w:bCs/>
          <w:color w:val="000000"/>
          <w:sz w:val="20"/>
          <w:szCs w:val="14"/>
          <w:vertAlign w:val="superscript"/>
        </w:rPr>
        <w:t>1</w:t>
      </w:r>
      <w:r w:rsidR="00292E52" w:rsidRPr="00292E52">
        <w:rPr>
          <w:rFonts w:ascii="Times New Roman" w:eastAsia="Times New Roman" w:hAnsi="Times New Roman" w:cs="Times New Roman"/>
          <w:b/>
          <w:bCs/>
          <w:color w:val="000000"/>
          <w:sz w:val="24"/>
          <w:szCs w:val="24"/>
        </w:rPr>
        <w:t>Janssen Research and Development, Titusville, NJ;</w:t>
      </w:r>
      <w:r w:rsidRPr="00C3196D">
        <w:t xml:space="preserve"> </w:t>
      </w:r>
      <w:r w:rsidRPr="00C3196D">
        <w:rPr>
          <w:rFonts w:ascii="Times New Roman" w:eastAsia="Times New Roman" w:hAnsi="Times New Roman" w:cs="Times New Roman"/>
          <w:b/>
          <w:bCs/>
          <w:color w:val="000000"/>
          <w:sz w:val="20"/>
          <w:szCs w:val="14"/>
          <w:vertAlign w:val="superscript"/>
        </w:rPr>
        <w:t>2</w:t>
      </w:r>
      <w:r w:rsidRPr="00C3196D">
        <w:rPr>
          <w:rFonts w:ascii="Times New Roman" w:eastAsia="Times New Roman" w:hAnsi="Times New Roman" w:cs="Times New Roman"/>
          <w:b/>
          <w:bCs/>
          <w:color w:val="000000"/>
          <w:sz w:val="24"/>
          <w:szCs w:val="24"/>
        </w:rPr>
        <w:t>OHDSI collaborators, Observational Health Data Sciences and Informatics (OHDSI), New York, NY</w:t>
      </w:r>
      <w:r>
        <w:rPr>
          <w:rFonts w:ascii="Times New Roman" w:eastAsia="Times New Roman" w:hAnsi="Times New Roman" w:cs="Times New Roman"/>
          <w:b/>
          <w:bCs/>
          <w:color w:val="000000"/>
          <w:sz w:val="24"/>
          <w:szCs w:val="24"/>
        </w:rPr>
        <w:t xml:space="preserve"> </w:t>
      </w:r>
      <w:r w:rsidR="00292E52" w:rsidRPr="00292E52">
        <w:rPr>
          <w:rFonts w:ascii="Times New Roman" w:eastAsia="Times New Roman" w:hAnsi="Times New Roman" w:cs="Times New Roman"/>
          <w:b/>
          <w:bCs/>
          <w:color w:val="000000"/>
          <w:sz w:val="24"/>
          <w:szCs w:val="24"/>
        </w:rPr>
        <w:br/>
      </w:r>
    </w:p>
    <w:p w:rsidR="00292E52" w:rsidRPr="00292E52" w:rsidRDefault="00292E52" w:rsidP="00292E52">
      <w:pPr>
        <w:spacing w:after="0" w:line="240" w:lineRule="auto"/>
        <w:rPr>
          <w:rFonts w:ascii="Times New Roman" w:eastAsia="Times New Roman" w:hAnsi="Times New Roman" w:cs="Times New Roman"/>
          <w:sz w:val="24"/>
          <w:szCs w:val="24"/>
        </w:rPr>
      </w:pPr>
    </w:p>
    <w:p w:rsidR="00292E52" w:rsidRPr="00292E52" w:rsidRDefault="00292E52" w:rsidP="00292E52">
      <w:pPr>
        <w:spacing w:after="120" w:line="240" w:lineRule="auto"/>
        <w:jc w:val="both"/>
        <w:rPr>
          <w:rFonts w:ascii="Times New Roman" w:eastAsia="Times New Roman" w:hAnsi="Times New Roman" w:cs="Times New Roman"/>
          <w:sz w:val="24"/>
          <w:szCs w:val="24"/>
        </w:rPr>
      </w:pPr>
      <w:r w:rsidRPr="00944664">
        <w:rPr>
          <w:rFonts w:ascii="Times New Roman" w:eastAsia="Times New Roman" w:hAnsi="Times New Roman" w:cs="Times New Roman"/>
          <w:b/>
          <w:bCs/>
          <w:color w:val="000000"/>
          <w:szCs w:val="20"/>
        </w:rPr>
        <w:t>Abstract</w:t>
      </w:r>
    </w:p>
    <w:p w:rsidR="00292E52" w:rsidRDefault="008D06DB" w:rsidP="00292E52">
      <w:pPr>
        <w:spacing w:after="120" w:line="240" w:lineRule="auto"/>
        <w:jc w:val="both"/>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Clearinghouses are used by US</w:t>
      </w:r>
      <w:r w:rsidRPr="008D06DB">
        <w:rPr>
          <w:rFonts w:ascii="Times New Roman" w:eastAsia="Times New Roman" w:hAnsi="Times New Roman" w:cs="Times New Roman"/>
          <w:i/>
          <w:iCs/>
          <w:color w:val="000000"/>
          <w:sz w:val="20"/>
          <w:szCs w:val="20"/>
        </w:rPr>
        <w:t xml:space="preserve"> healthcare</w:t>
      </w:r>
      <w:r>
        <w:rPr>
          <w:rFonts w:ascii="Times New Roman" w:eastAsia="Times New Roman" w:hAnsi="Times New Roman" w:cs="Times New Roman"/>
          <w:i/>
          <w:iCs/>
          <w:color w:val="000000"/>
          <w:sz w:val="20"/>
          <w:szCs w:val="20"/>
        </w:rPr>
        <w:t xml:space="preserve"> providers</w:t>
      </w:r>
      <w:r w:rsidRPr="008D06DB">
        <w:rPr>
          <w:rFonts w:ascii="Times New Roman" w:eastAsia="Times New Roman" w:hAnsi="Times New Roman" w:cs="Times New Roman"/>
          <w:i/>
          <w:iCs/>
          <w:color w:val="000000"/>
          <w:sz w:val="20"/>
          <w:szCs w:val="20"/>
        </w:rPr>
        <w:t xml:space="preserve"> for “claims scrubbing” between the point of</w:t>
      </w:r>
      <w:r w:rsidR="00A51C3B">
        <w:rPr>
          <w:rFonts w:ascii="Times New Roman" w:eastAsia="Times New Roman" w:hAnsi="Times New Roman" w:cs="Times New Roman"/>
          <w:i/>
          <w:iCs/>
          <w:color w:val="000000"/>
          <w:sz w:val="20"/>
          <w:szCs w:val="20"/>
        </w:rPr>
        <w:t xml:space="preserve"> care and the insurance company</w:t>
      </w:r>
      <w:r w:rsidR="004C09F2">
        <w:rPr>
          <w:rFonts w:ascii="Times New Roman" w:eastAsia="Times New Roman" w:hAnsi="Times New Roman" w:cs="Times New Roman"/>
          <w:i/>
          <w:iCs/>
          <w:color w:val="000000"/>
          <w:sz w:val="20"/>
          <w:szCs w:val="20"/>
        </w:rPr>
        <w:t xml:space="preserve"> by inspecting the claims for errors before submission for payment</w:t>
      </w:r>
      <w:r>
        <w:rPr>
          <w:rFonts w:ascii="Times New Roman" w:eastAsia="Times New Roman" w:hAnsi="Times New Roman" w:cs="Times New Roman"/>
          <w:i/>
          <w:iCs/>
          <w:color w:val="000000"/>
          <w:sz w:val="20"/>
          <w:szCs w:val="20"/>
        </w:rPr>
        <w:t xml:space="preserve">. </w:t>
      </w:r>
      <w:r w:rsidR="005F31A4">
        <w:rPr>
          <w:rFonts w:ascii="Times New Roman" w:eastAsia="Times New Roman" w:hAnsi="Times New Roman" w:cs="Times New Roman"/>
          <w:i/>
          <w:iCs/>
          <w:color w:val="000000"/>
          <w:sz w:val="20"/>
          <w:szCs w:val="20"/>
        </w:rPr>
        <w:t xml:space="preserve">This poster will describe a methodology for evaluating open claims data by first </w:t>
      </w:r>
      <w:r w:rsidR="00777DB3">
        <w:rPr>
          <w:rFonts w:ascii="Times New Roman" w:eastAsia="Times New Roman" w:hAnsi="Times New Roman" w:cs="Times New Roman"/>
          <w:i/>
          <w:iCs/>
          <w:color w:val="000000"/>
          <w:sz w:val="20"/>
          <w:szCs w:val="20"/>
        </w:rPr>
        <w:t xml:space="preserve">obtaining </w:t>
      </w:r>
      <w:r w:rsidR="005F31A4">
        <w:rPr>
          <w:rFonts w:ascii="Times New Roman" w:eastAsia="Times New Roman" w:hAnsi="Times New Roman" w:cs="Times New Roman"/>
          <w:i/>
          <w:iCs/>
          <w:color w:val="000000"/>
          <w:sz w:val="20"/>
          <w:szCs w:val="20"/>
        </w:rPr>
        <w:t xml:space="preserve">the cross-section of patients from a claims clearinghouse and from a </w:t>
      </w:r>
      <w:r w:rsidR="00291ED0">
        <w:rPr>
          <w:rFonts w:ascii="Times New Roman" w:eastAsia="Times New Roman" w:hAnsi="Times New Roman" w:cs="Times New Roman"/>
          <w:i/>
          <w:iCs/>
          <w:color w:val="000000"/>
          <w:sz w:val="20"/>
          <w:szCs w:val="20"/>
        </w:rPr>
        <w:t xml:space="preserve">prescription benefit plan, defining metrics of interest, and then transforming the data to the </w:t>
      </w:r>
      <w:r w:rsidR="00CA25F1">
        <w:rPr>
          <w:rFonts w:ascii="Times New Roman" w:eastAsia="Times New Roman" w:hAnsi="Times New Roman" w:cs="Times New Roman"/>
          <w:i/>
          <w:iCs/>
          <w:color w:val="000000"/>
          <w:sz w:val="20"/>
          <w:szCs w:val="20"/>
        </w:rPr>
        <w:t>Observational Medical Outcomes Partnership (</w:t>
      </w:r>
      <w:r w:rsidR="00291ED0">
        <w:rPr>
          <w:rFonts w:ascii="Times New Roman" w:eastAsia="Times New Roman" w:hAnsi="Times New Roman" w:cs="Times New Roman"/>
          <w:i/>
          <w:iCs/>
          <w:color w:val="000000"/>
          <w:sz w:val="20"/>
          <w:szCs w:val="20"/>
        </w:rPr>
        <w:t>OMOP</w:t>
      </w:r>
      <w:r w:rsidR="00CA25F1">
        <w:rPr>
          <w:rFonts w:ascii="Times New Roman" w:eastAsia="Times New Roman" w:hAnsi="Times New Roman" w:cs="Times New Roman"/>
          <w:i/>
          <w:iCs/>
          <w:color w:val="000000"/>
          <w:sz w:val="20"/>
          <w:szCs w:val="20"/>
        </w:rPr>
        <w:t>)</w:t>
      </w:r>
      <w:r w:rsidR="00291ED0">
        <w:rPr>
          <w:rFonts w:ascii="Times New Roman" w:eastAsia="Times New Roman" w:hAnsi="Times New Roman" w:cs="Times New Roman"/>
          <w:i/>
          <w:iCs/>
          <w:color w:val="000000"/>
          <w:sz w:val="20"/>
          <w:szCs w:val="20"/>
        </w:rPr>
        <w:t xml:space="preserve"> Common Data Model</w:t>
      </w:r>
      <w:r w:rsidR="00CA25F1">
        <w:rPr>
          <w:rFonts w:ascii="Times New Roman" w:eastAsia="Times New Roman" w:hAnsi="Times New Roman" w:cs="Times New Roman"/>
          <w:i/>
          <w:iCs/>
          <w:color w:val="000000"/>
          <w:sz w:val="20"/>
          <w:szCs w:val="20"/>
        </w:rPr>
        <w:t xml:space="preserve"> (CDM) </w:t>
      </w:r>
      <w:r w:rsidR="00575E2A">
        <w:rPr>
          <w:rFonts w:ascii="Times New Roman" w:eastAsia="Times New Roman" w:hAnsi="Times New Roman" w:cs="Times New Roman"/>
          <w:i/>
          <w:iCs/>
          <w:color w:val="000000"/>
          <w:sz w:val="20"/>
          <w:szCs w:val="20"/>
        </w:rPr>
        <w:fldChar w:fldCharType="begin"/>
      </w:r>
      <w:r w:rsidR="00575E2A">
        <w:rPr>
          <w:rFonts w:ascii="Times New Roman" w:eastAsia="Times New Roman" w:hAnsi="Times New Roman" w:cs="Times New Roman"/>
          <w:i/>
          <w:iCs/>
          <w:color w:val="000000"/>
          <w:sz w:val="20"/>
          <w:szCs w:val="20"/>
        </w:rPr>
        <w:instrText xml:space="preserve"> ADDIN EN.CITE &lt;EndNote&gt;&lt;Cite&gt;&lt;Year&gt;2015&lt;/Year&gt;&lt;RecNum&gt;3&lt;/RecNum&gt;&lt;DisplayText&gt;(1)&lt;/DisplayText&gt;&lt;record&gt;&lt;rec-number&gt;3&lt;/rec-number&gt;&lt;foreign-keys&gt;&lt;key app="EN" db-id="02ps0z5ds0sf5cefetl5pe0irz2esszf2r0a"&gt;3&lt;/key&gt;&lt;/foreign-keys&gt;&lt;ref-type name="Web Page"&gt;12&lt;/ref-type&gt;&lt;contributors&gt;&lt;/contributors&gt;&lt;titles&gt;&lt;title&gt;OMOP Common Data Model&lt;/title&gt;&lt;/titles&gt;&lt;volume&gt;20 Jul 2015&lt;/volume&gt;&lt;dates&gt;&lt;year&gt;2015&lt;/year&gt;&lt;/dates&gt;&lt;work-type&gt;Webpage&lt;/work-type&gt;&lt;urls&gt;&lt;related-urls&gt;&lt;url&gt;http://www.ohdsi.org/data-standardization/the-common-data-model/&lt;/url&gt;&lt;/related-urls&gt;&lt;/urls&gt;&lt;/record&gt;&lt;/Cite&gt;&lt;/EndNote&gt;</w:instrText>
      </w:r>
      <w:r w:rsidR="00575E2A">
        <w:rPr>
          <w:rFonts w:ascii="Times New Roman" w:eastAsia="Times New Roman" w:hAnsi="Times New Roman" w:cs="Times New Roman"/>
          <w:i/>
          <w:iCs/>
          <w:color w:val="000000"/>
          <w:sz w:val="20"/>
          <w:szCs w:val="20"/>
        </w:rPr>
        <w:fldChar w:fldCharType="separate"/>
      </w:r>
      <w:r w:rsidR="00575E2A">
        <w:rPr>
          <w:rFonts w:ascii="Times New Roman" w:eastAsia="Times New Roman" w:hAnsi="Times New Roman" w:cs="Times New Roman"/>
          <w:i/>
          <w:iCs/>
          <w:noProof/>
          <w:color w:val="000000"/>
          <w:sz w:val="20"/>
          <w:szCs w:val="20"/>
        </w:rPr>
        <w:t>(</w:t>
      </w:r>
      <w:hyperlink w:anchor="_ENREF_1" w:tooltip=", 2015 #3" w:history="1">
        <w:r w:rsidR="00575E2A">
          <w:rPr>
            <w:rFonts w:ascii="Times New Roman" w:eastAsia="Times New Roman" w:hAnsi="Times New Roman" w:cs="Times New Roman"/>
            <w:i/>
            <w:iCs/>
            <w:noProof/>
            <w:color w:val="000000"/>
            <w:sz w:val="20"/>
            <w:szCs w:val="20"/>
          </w:rPr>
          <w:t>1</w:t>
        </w:r>
      </w:hyperlink>
      <w:r w:rsidR="00575E2A">
        <w:rPr>
          <w:rFonts w:ascii="Times New Roman" w:eastAsia="Times New Roman" w:hAnsi="Times New Roman" w:cs="Times New Roman"/>
          <w:i/>
          <w:iCs/>
          <w:noProof/>
          <w:color w:val="000000"/>
          <w:sz w:val="20"/>
          <w:szCs w:val="20"/>
        </w:rPr>
        <w:t>)</w:t>
      </w:r>
      <w:r w:rsidR="00575E2A">
        <w:rPr>
          <w:rFonts w:ascii="Times New Roman" w:eastAsia="Times New Roman" w:hAnsi="Times New Roman" w:cs="Times New Roman"/>
          <w:i/>
          <w:iCs/>
          <w:color w:val="000000"/>
          <w:sz w:val="20"/>
          <w:szCs w:val="20"/>
        </w:rPr>
        <w:fldChar w:fldCharType="end"/>
      </w:r>
      <w:r w:rsidR="00291ED0">
        <w:rPr>
          <w:rFonts w:ascii="Times New Roman" w:eastAsia="Times New Roman" w:hAnsi="Times New Roman" w:cs="Times New Roman"/>
          <w:i/>
          <w:iCs/>
          <w:color w:val="000000"/>
          <w:sz w:val="20"/>
          <w:szCs w:val="20"/>
        </w:rPr>
        <w:t xml:space="preserve"> in such a way to quantify those metrics.</w:t>
      </w:r>
    </w:p>
    <w:p w:rsidR="00292E52" w:rsidRPr="00944664" w:rsidRDefault="00292E52" w:rsidP="00292E52">
      <w:pPr>
        <w:spacing w:before="120" w:after="120" w:line="240" w:lineRule="auto"/>
        <w:jc w:val="both"/>
        <w:rPr>
          <w:rFonts w:ascii="Times New Roman" w:eastAsia="Times New Roman" w:hAnsi="Times New Roman" w:cs="Times New Roman"/>
          <w:sz w:val="28"/>
          <w:szCs w:val="24"/>
        </w:rPr>
      </w:pPr>
      <w:r w:rsidRPr="00944664">
        <w:rPr>
          <w:rFonts w:ascii="Times New Roman" w:eastAsia="Times New Roman" w:hAnsi="Times New Roman" w:cs="Times New Roman"/>
          <w:b/>
          <w:bCs/>
          <w:color w:val="000000"/>
          <w:szCs w:val="20"/>
        </w:rPr>
        <w:t>Introduction</w:t>
      </w:r>
    </w:p>
    <w:p w:rsidR="008D06DB" w:rsidRPr="008D06DB" w:rsidRDefault="003650FD" w:rsidP="008D06D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In the US,</w:t>
      </w:r>
      <w:r w:rsidR="008D06DB">
        <w:rPr>
          <w:rFonts w:ascii="Times New Roman" w:eastAsia="Times New Roman" w:hAnsi="Times New Roman" w:cs="Times New Roman"/>
          <w:color w:val="000000"/>
          <w:sz w:val="20"/>
          <w:szCs w:val="20"/>
        </w:rPr>
        <w:t xml:space="preserve"> claims clearinghouses provid</w:t>
      </w:r>
      <w:r>
        <w:rPr>
          <w:rFonts w:ascii="Times New Roman" w:eastAsia="Times New Roman" w:hAnsi="Times New Roman" w:cs="Times New Roman"/>
          <w:color w:val="000000"/>
          <w:sz w:val="20"/>
          <w:szCs w:val="20"/>
        </w:rPr>
        <w:t>e</w:t>
      </w:r>
      <w:r w:rsidR="008D06DB">
        <w:rPr>
          <w:rFonts w:ascii="Times New Roman" w:eastAsia="Times New Roman" w:hAnsi="Times New Roman" w:cs="Times New Roman"/>
          <w:color w:val="000000"/>
          <w:sz w:val="20"/>
          <w:szCs w:val="20"/>
        </w:rPr>
        <w:t xml:space="preserve"> transaction</w:t>
      </w:r>
      <w:r w:rsidR="0052423B">
        <w:rPr>
          <w:rFonts w:ascii="Times New Roman" w:eastAsia="Times New Roman" w:hAnsi="Times New Roman" w:cs="Times New Roman"/>
          <w:color w:val="000000"/>
          <w:sz w:val="20"/>
          <w:szCs w:val="20"/>
        </w:rPr>
        <w:t>al</w:t>
      </w:r>
      <w:r w:rsidR="008D06DB">
        <w:rPr>
          <w:rFonts w:ascii="Times New Roman" w:eastAsia="Times New Roman" w:hAnsi="Times New Roman" w:cs="Times New Roman"/>
          <w:color w:val="000000"/>
          <w:sz w:val="20"/>
          <w:szCs w:val="20"/>
        </w:rPr>
        <w:t xml:space="preserve"> support between providers and payers to facilitate fast payment by minimizing errors during the claims submission process</w:t>
      </w:r>
      <w:r w:rsidR="00575E2A" w:rsidRPr="00C3196D">
        <w:rPr>
          <w:rFonts w:ascii="Times New Roman" w:eastAsia="Times New Roman" w:hAnsi="Times New Roman" w:cs="Times New Roman"/>
          <w:color w:val="000000"/>
          <w:sz w:val="20"/>
          <w:szCs w:val="20"/>
        </w:rPr>
        <w:fldChar w:fldCharType="begin"/>
      </w:r>
      <w:r w:rsidR="00575E2A">
        <w:rPr>
          <w:rFonts w:ascii="Times New Roman" w:eastAsia="Times New Roman" w:hAnsi="Times New Roman" w:cs="Times New Roman"/>
          <w:color w:val="000000"/>
          <w:sz w:val="20"/>
          <w:szCs w:val="20"/>
        </w:rPr>
        <w:instrText xml:space="preserve"> ADDIN EN.CITE &lt;EndNote&gt;&lt;Cite&gt;&lt;Author&gt;Sculley&lt;/Author&gt;&lt;Year&gt;2014&lt;/Year&gt;&lt;RecNum&gt;18&lt;/RecNum&gt;&lt;DisplayText&gt;(2)&lt;/DisplayText&gt;&lt;record&gt;&lt;rec-number&gt;18&lt;/rec-number&gt;&lt;foreign-keys&gt;&lt;key app="EN" db-id="02ps0z5ds0sf5cefetl5pe0irz2esszf2r0a"&gt;18&lt;/key&gt;&lt;/foreign-keys&gt;&lt;ref-type name="Journal Article"&gt;17&lt;/ref-type&gt;&lt;contributors&gt;&lt;authors&gt;&lt;author&gt;Sculley, JM&lt;/author&gt;&lt;/authors&gt;&lt;/contributors&gt;&lt;titles&gt;&lt;title&gt;What is a clearinghouse for medical claims, and what do they do?&lt;/title&gt;&lt;/titles&gt;&lt;dates&gt;&lt;year&gt;2014&lt;/year&gt;&lt;/dates&gt;&lt;urls&gt;&lt;related-urls&gt;&lt;url&gt;http://coa.org/docs/WhitePapers/Clearinghouses.pdf&lt;/url&gt;&lt;/related-urls&gt;&lt;/urls&gt;&lt;access-date&gt;8/24/2017&lt;/access-date&gt;&lt;/record&gt;&lt;/Cite&gt;&lt;/EndNote&gt;</w:instrText>
      </w:r>
      <w:r w:rsidR="00575E2A" w:rsidRPr="00C3196D">
        <w:rPr>
          <w:rFonts w:ascii="Times New Roman" w:eastAsia="Times New Roman" w:hAnsi="Times New Roman" w:cs="Times New Roman"/>
          <w:color w:val="000000"/>
          <w:sz w:val="20"/>
          <w:szCs w:val="20"/>
        </w:rPr>
        <w:fldChar w:fldCharType="separate"/>
      </w:r>
      <w:r w:rsidR="00575E2A">
        <w:rPr>
          <w:rFonts w:ascii="Times New Roman" w:eastAsia="Times New Roman" w:hAnsi="Times New Roman" w:cs="Times New Roman"/>
          <w:noProof/>
          <w:color w:val="000000"/>
          <w:sz w:val="20"/>
          <w:szCs w:val="20"/>
        </w:rPr>
        <w:t>(</w:t>
      </w:r>
      <w:hyperlink w:anchor="_ENREF_2" w:tooltip="Sculley, 2014 #18" w:history="1">
        <w:r w:rsidR="00575E2A">
          <w:rPr>
            <w:rFonts w:ascii="Times New Roman" w:eastAsia="Times New Roman" w:hAnsi="Times New Roman" w:cs="Times New Roman"/>
            <w:noProof/>
            <w:color w:val="000000"/>
            <w:sz w:val="20"/>
            <w:szCs w:val="20"/>
          </w:rPr>
          <w:t>2</w:t>
        </w:r>
      </w:hyperlink>
      <w:r w:rsidR="00575E2A">
        <w:rPr>
          <w:rFonts w:ascii="Times New Roman" w:eastAsia="Times New Roman" w:hAnsi="Times New Roman" w:cs="Times New Roman"/>
          <w:noProof/>
          <w:color w:val="000000"/>
          <w:sz w:val="20"/>
          <w:szCs w:val="20"/>
        </w:rPr>
        <w:t>)</w:t>
      </w:r>
      <w:r w:rsidR="00575E2A" w:rsidRPr="00C3196D">
        <w:rPr>
          <w:rFonts w:ascii="Times New Roman" w:eastAsia="Times New Roman" w:hAnsi="Times New Roman" w:cs="Times New Roman"/>
          <w:color w:val="000000"/>
          <w:sz w:val="20"/>
          <w:szCs w:val="20"/>
        </w:rPr>
        <w:fldChar w:fldCharType="end"/>
      </w:r>
      <w:r w:rsidR="008D06DB">
        <w:rPr>
          <w:rFonts w:ascii="Times New Roman" w:eastAsia="Times New Roman" w:hAnsi="Times New Roman" w:cs="Times New Roman"/>
          <w:color w:val="000000"/>
          <w:sz w:val="20"/>
          <w:szCs w:val="20"/>
        </w:rPr>
        <w:t xml:space="preserve">. </w:t>
      </w:r>
      <w:r w:rsidR="006A489B" w:rsidRPr="006A489B">
        <w:rPr>
          <w:rFonts w:ascii="Times New Roman" w:eastAsia="Times New Roman" w:hAnsi="Times New Roman" w:cs="Times New Roman"/>
          <w:color w:val="000000"/>
          <w:sz w:val="20"/>
          <w:szCs w:val="20"/>
        </w:rPr>
        <w:t xml:space="preserve">The claims available from these institutions are considered “open” in that they contain the same information as data available from large payers </w:t>
      </w:r>
      <w:r w:rsidR="00395010">
        <w:rPr>
          <w:rFonts w:ascii="Times New Roman" w:eastAsia="Times New Roman" w:hAnsi="Times New Roman" w:cs="Times New Roman"/>
          <w:color w:val="000000"/>
          <w:sz w:val="20"/>
          <w:szCs w:val="20"/>
        </w:rPr>
        <w:t xml:space="preserve">except for </w:t>
      </w:r>
      <w:r w:rsidR="006A489B" w:rsidRPr="006A489B">
        <w:rPr>
          <w:rFonts w:ascii="Times New Roman" w:eastAsia="Times New Roman" w:hAnsi="Times New Roman" w:cs="Times New Roman"/>
          <w:color w:val="000000"/>
          <w:sz w:val="20"/>
          <w:szCs w:val="20"/>
        </w:rPr>
        <w:t>final adjudicatio</w:t>
      </w:r>
      <w:r w:rsidR="00395010">
        <w:rPr>
          <w:rFonts w:ascii="Times New Roman" w:eastAsia="Times New Roman" w:hAnsi="Times New Roman" w:cs="Times New Roman"/>
          <w:color w:val="000000"/>
          <w:sz w:val="20"/>
          <w:szCs w:val="20"/>
        </w:rPr>
        <w:t>n</w:t>
      </w:r>
      <w:r w:rsidR="003E27FB">
        <w:rPr>
          <w:rFonts w:ascii="Times New Roman" w:eastAsia="Times New Roman" w:hAnsi="Times New Roman" w:cs="Times New Roman"/>
          <w:color w:val="000000"/>
          <w:sz w:val="20"/>
          <w:szCs w:val="20"/>
        </w:rPr>
        <w:t xml:space="preserve"> (considered as “closed”)</w:t>
      </w:r>
      <w:r w:rsidR="006A489B">
        <w:rPr>
          <w:rFonts w:ascii="Times New Roman" w:eastAsia="Times New Roman" w:hAnsi="Times New Roman" w:cs="Times New Roman"/>
          <w:color w:val="000000"/>
          <w:sz w:val="20"/>
          <w:szCs w:val="20"/>
        </w:rPr>
        <w:t>.</w:t>
      </w:r>
      <w:r w:rsidR="00395010">
        <w:rPr>
          <w:rFonts w:ascii="Times New Roman" w:eastAsia="Times New Roman" w:hAnsi="Times New Roman" w:cs="Times New Roman"/>
          <w:color w:val="000000"/>
          <w:sz w:val="20"/>
          <w:szCs w:val="20"/>
        </w:rPr>
        <w:t xml:space="preserve"> </w:t>
      </w:r>
      <w:r w:rsidR="006A489B">
        <w:rPr>
          <w:rFonts w:ascii="Times New Roman" w:eastAsia="Times New Roman" w:hAnsi="Times New Roman" w:cs="Times New Roman"/>
          <w:color w:val="000000"/>
          <w:sz w:val="20"/>
          <w:szCs w:val="20"/>
        </w:rPr>
        <w:t>While rich in information, t</w:t>
      </w:r>
      <w:r w:rsidR="008D06DB">
        <w:rPr>
          <w:rFonts w:ascii="Times New Roman" w:eastAsia="Times New Roman" w:hAnsi="Times New Roman" w:cs="Times New Roman"/>
          <w:color w:val="000000"/>
          <w:sz w:val="20"/>
          <w:szCs w:val="20"/>
        </w:rPr>
        <w:t>his</w:t>
      </w:r>
      <w:r>
        <w:rPr>
          <w:rFonts w:ascii="Times New Roman" w:eastAsia="Times New Roman" w:hAnsi="Times New Roman" w:cs="Times New Roman"/>
          <w:color w:val="000000"/>
          <w:sz w:val="20"/>
          <w:szCs w:val="20"/>
        </w:rPr>
        <w:t xml:space="preserve"> type of</w:t>
      </w:r>
      <w:r w:rsidR="008D06DB">
        <w:rPr>
          <w:rFonts w:ascii="Times New Roman" w:eastAsia="Times New Roman" w:hAnsi="Times New Roman" w:cs="Times New Roman"/>
          <w:color w:val="000000"/>
          <w:sz w:val="20"/>
          <w:szCs w:val="20"/>
        </w:rPr>
        <w:t xml:space="preserve"> data has not been</w:t>
      </w:r>
      <w:r w:rsidR="00A51C3B">
        <w:rPr>
          <w:rFonts w:ascii="Times New Roman" w:eastAsia="Times New Roman" w:hAnsi="Times New Roman" w:cs="Times New Roman"/>
          <w:color w:val="000000"/>
          <w:sz w:val="20"/>
          <w:szCs w:val="20"/>
        </w:rPr>
        <w:t xml:space="preserve"> </w:t>
      </w:r>
      <w:r w:rsidR="00186F80">
        <w:rPr>
          <w:rFonts w:ascii="Times New Roman" w:eastAsia="Times New Roman" w:hAnsi="Times New Roman" w:cs="Times New Roman"/>
          <w:color w:val="000000"/>
          <w:sz w:val="20"/>
          <w:szCs w:val="20"/>
        </w:rPr>
        <w:t xml:space="preserve">utilized </w:t>
      </w:r>
      <w:r w:rsidR="008D06DB">
        <w:rPr>
          <w:rFonts w:ascii="Times New Roman" w:eastAsia="Times New Roman" w:hAnsi="Times New Roman" w:cs="Times New Roman"/>
          <w:color w:val="000000"/>
          <w:sz w:val="20"/>
          <w:szCs w:val="20"/>
        </w:rPr>
        <w:t>for ob</w:t>
      </w:r>
      <w:r>
        <w:rPr>
          <w:rFonts w:ascii="Times New Roman" w:eastAsia="Times New Roman" w:hAnsi="Times New Roman" w:cs="Times New Roman"/>
          <w:color w:val="000000"/>
          <w:sz w:val="20"/>
          <w:szCs w:val="20"/>
        </w:rPr>
        <w:t xml:space="preserve">servational </w:t>
      </w:r>
      <w:r w:rsidR="006A489B">
        <w:rPr>
          <w:rFonts w:ascii="Times New Roman" w:eastAsia="Times New Roman" w:hAnsi="Times New Roman" w:cs="Times New Roman"/>
          <w:color w:val="000000"/>
          <w:sz w:val="20"/>
          <w:szCs w:val="20"/>
        </w:rPr>
        <w:t xml:space="preserve">research because, unlike </w:t>
      </w:r>
      <w:r w:rsidR="00A51C3B">
        <w:rPr>
          <w:rFonts w:ascii="Times New Roman" w:eastAsia="Times New Roman" w:hAnsi="Times New Roman" w:cs="Times New Roman"/>
          <w:color w:val="000000"/>
          <w:sz w:val="20"/>
          <w:szCs w:val="20"/>
        </w:rPr>
        <w:t xml:space="preserve">more traditional closed claims systems like </w:t>
      </w:r>
      <w:r w:rsidR="00CA25F1">
        <w:rPr>
          <w:rFonts w:ascii="Times New Roman" w:eastAsia="Times New Roman" w:hAnsi="Times New Roman" w:cs="Times New Roman"/>
          <w:color w:val="000000"/>
          <w:sz w:val="20"/>
          <w:szCs w:val="20"/>
        </w:rPr>
        <w:t xml:space="preserve">such as </w:t>
      </w:r>
      <w:r w:rsidR="00A51C3B">
        <w:rPr>
          <w:rFonts w:ascii="Times New Roman" w:eastAsia="Times New Roman" w:hAnsi="Times New Roman" w:cs="Times New Roman"/>
          <w:color w:val="000000"/>
          <w:sz w:val="20"/>
          <w:szCs w:val="20"/>
        </w:rPr>
        <w:t>prescription benefit or health insurance plans, members are enrolled at the provider level rather than at the patient level</w:t>
      </w:r>
      <w:r w:rsidR="00395010">
        <w:rPr>
          <w:rFonts w:ascii="Times New Roman" w:eastAsia="Times New Roman" w:hAnsi="Times New Roman" w:cs="Times New Roman"/>
          <w:color w:val="000000"/>
          <w:sz w:val="20"/>
          <w:szCs w:val="20"/>
        </w:rPr>
        <w:t>.</w:t>
      </w:r>
      <w:r w:rsidR="008D4216">
        <w:rPr>
          <w:rFonts w:ascii="Times New Roman" w:eastAsia="Times New Roman" w:hAnsi="Times New Roman" w:cs="Times New Roman"/>
          <w:color w:val="000000"/>
          <w:sz w:val="20"/>
          <w:szCs w:val="20"/>
        </w:rPr>
        <w:t xml:space="preserve"> </w:t>
      </w:r>
      <w:r w:rsidR="00013A0B">
        <w:rPr>
          <w:rFonts w:ascii="Times New Roman" w:eastAsia="Times New Roman" w:hAnsi="Times New Roman" w:cs="Times New Roman"/>
          <w:color w:val="000000"/>
          <w:sz w:val="20"/>
          <w:szCs w:val="20"/>
        </w:rPr>
        <w:t>To this point</w:t>
      </w:r>
      <w:r w:rsidR="0039501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there has not been a clear way to assess the completeness and validity of these claims.</w:t>
      </w:r>
      <w:r w:rsidR="008D06DB">
        <w:rPr>
          <w:rFonts w:ascii="Times New Roman" w:eastAsia="Times New Roman" w:hAnsi="Times New Roman" w:cs="Times New Roman"/>
          <w:color w:val="000000"/>
          <w:sz w:val="20"/>
          <w:szCs w:val="20"/>
        </w:rPr>
        <w:t xml:space="preserve"> </w:t>
      </w:r>
      <w:r w:rsidR="00CD5D65">
        <w:rPr>
          <w:rFonts w:ascii="Times New Roman" w:eastAsia="Times New Roman" w:hAnsi="Times New Roman" w:cs="Times New Roman"/>
          <w:color w:val="000000"/>
          <w:sz w:val="20"/>
          <w:szCs w:val="20"/>
        </w:rPr>
        <w:t xml:space="preserve">By first creating metrics to evaluate </w:t>
      </w:r>
      <w:r w:rsidR="00944664">
        <w:rPr>
          <w:rFonts w:ascii="Times New Roman" w:eastAsia="Times New Roman" w:hAnsi="Times New Roman" w:cs="Times New Roman"/>
          <w:color w:val="000000"/>
          <w:sz w:val="20"/>
          <w:szCs w:val="20"/>
        </w:rPr>
        <w:t>clearinghouse data</w:t>
      </w:r>
      <w:r w:rsidR="00803DA3">
        <w:rPr>
          <w:rFonts w:ascii="Times New Roman" w:eastAsia="Times New Roman" w:hAnsi="Times New Roman" w:cs="Times New Roman"/>
          <w:color w:val="000000"/>
          <w:sz w:val="20"/>
          <w:szCs w:val="20"/>
        </w:rPr>
        <w:t>,</w:t>
      </w:r>
      <w:r w:rsidR="00CD5D65">
        <w:rPr>
          <w:rFonts w:ascii="Times New Roman" w:eastAsia="Times New Roman" w:hAnsi="Times New Roman" w:cs="Times New Roman"/>
          <w:color w:val="000000"/>
          <w:sz w:val="20"/>
          <w:szCs w:val="20"/>
        </w:rPr>
        <w:t xml:space="preserve"> and then </w:t>
      </w:r>
      <w:r w:rsidR="00803DA3">
        <w:rPr>
          <w:rFonts w:ascii="Times New Roman" w:eastAsia="Times New Roman" w:hAnsi="Times New Roman" w:cs="Times New Roman"/>
          <w:color w:val="000000"/>
          <w:sz w:val="20"/>
          <w:szCs w:val="20"/>
        </w:rPr>
        <w:t xml:space="preserve">translating the data into </w:t>
      </w:r>
      <w:r w:rsidR="00CD5D65">
        <w:rPr>
          <w:rFonts w:ascii="Times New Roman" w:eastAsia="Times New Roman" w:hAnsi="Times New Roman" w:cs="Times New Roman"/>
          <w:color w:val="000000"/>
          <w:sz w:val="20"/>
          <w:szCs w:val="20"/>
        </w:rPr>
        <w:t xml:space="preserve">the OMOP CDM </w:t>
      </w:r>
      <w:r w:rsidR="00803DA3">
        <w:rPr>
          <w:rFonts w:ascii="Times New Roman" w:eastAsia="Times New Roman" w:hAnsi="Times New Roman" w:cs="Times New Roman"/>
          <w:color w:val="000000"/>
          <w:sz w:val="20"/>
          <w:szCs w:val="20"/>
        </w:rPr>
        <w:t>to</w:t>
      </w:r>
      <w:r w:rsidR="00CD5D65">
        <w:rPr>
          <w:rFonts w:ascii="Times New Roman" w:eastAsia="Times New Roman" w:hAnsi="Times New Roman" w:cs="Times New Roman"/>
          <w:color w:val="000000"/>
          <w:sz w:val="20"/>
          <w:szCs w:val="20"/>
        </w:rPr>
        <w:t xml:space="preserve"> facilitate the calculation of those metrics, </w:t>
      </w:r>
      <w:r w:rsidR="00803DA3">
        <w:rPr>
          <w:rFonts w:ascii="Times New Roman" w:eastAsia="Times New Roman" w:hAnsi="Times New Roman" w:cs="Times New Roman"/>
          <w:color w:val="000000"/>
          <w:sz w:val="20"/>
          <w:szCs w:val="20"/>
        </w:rPr>
        <w:t xml:space="preserve">we created </w:t>
      </w:r>
      <w:r w:rsidR="00CD5D65">
        <w:rPr>
          <w:rFonts w:ascii="Times New Roman" w:eastAsia="Times New Roman" w:hAnsi="Times New Roman" w:cs="Times New Roman"/>
          <w:color w:val="000000"/>
          <w:sz w:val="20"/>
          <w:szCs w:val="20"/>
        </w:rPr>
        <w:t xml:space="preserve">an </w:t>
      </w:r>
      <w:r w:rsidR="00944664">
        <w:rPr>
          <w:rFonts w:ascii="Times New Roman" w:eastAsia="Times New Roman" w:hAnsi="Times New Roman" w:cs="Times New Roman"/>
          <w:color w:val="000000"/>
          <w:sz w:val="20"/>
          <w:szCs w:val="20"/>
        </w:rPr>
        <w:t>open claim</w:t>
      </w:r>
      <w:r w:rsidR="00803DA3">
        <w:rPr>
          <w:rFonts w:ascii="Times New Roman" w:eastAsia="Times New Roman" w:hAnsi="Times New Roman" w:cs="Times New Roman"/>
          <w:color w:val="000000"/>
          <w:sz w:val="20"/>
          <w:szCs w:val="20"/>
        </w:rPr>
        <w:t>s</w:t>
      </w:r>
      <w:r w:rsidR="00944664">
        <w:rPr>
          <w:rFonts w:ascii="Times New Roman" w:eastAsia="Times New Roman" w:hAnsi="Times New Roman" w:cs="Times New Roman"/>
          <w:color w:val="000000"/>
          <w:sz w:val="20"/>
          <w:szCs w:val="20"/>
        </w:rPr>
        <w:t xml:space="preserve"> </w:t>
      </w:r>
      <w:r w:rsidR="00CD5D65">
        <w:rPr>
          <w:rFonts w:ascii="Times New Roman" w:eastAsia="Times New Roman" w:hAnsi="Times New Roman" w:cs="Times New Roman"/>
          <w:color w:val="000000"/>
          <w:sz w:val="20"/>
          <w:szCs w:val="20"/>
        </w:rPr>
        <w:t>e</w:t>
      </w:r>
      <w:r w:rsidR="00944664">
        <w:rPr>
          <w:rFonts w:ascii="Times New Roman" w:eastAsia="Times New Roman" w:hAnsi="Times New Roman" w:cs="Times New Roman"/>
          <w:color w:val="000000"/>
          <w:sz w:val="20"/>
          <w:szCs w:val="20"/>
        </w:rPr>
        <w:t>valuation framework. While t</w:t>
      </w:r>
      <w:r w:rsidR="00616736">
        <w:rPr>
          <w:rFonts w:ascii="Times New Roman" w:eastAsia="Times New Roman" w:hAnsi="Times New Roman" w:cs="Times New Roman"/>
          <w:color w:val="000000"/>
          <w:sz w:val="20"/>
          <w:szCs w:val="20"/>
        </w:rPr>
        <w:t>he CDM has been commonly used as an effective way to standardize observational health databases</w:t>
      </w:r>
      <w:r w:rsidR="00186F80">
        <w:rPr>
          <w:rFonts w:ascii="Times New Roman" w:eastAsia="Times New Roman" w:hAnsi="Times New Roman" w:cs="Times New Roman"/>
          <w:color w:val="000000"/>
          <w:sz w:val="20"/>
          <w:szCs w:val="20"/>
        </w:rPr>
        <w:t xml:space="preserve">, </w:t>
      </w:r>
      <w:r w:rsidR="00616736">
        <w:rPr>
          <w:rFonts w:ascii="Times New Roman" w:eastAsia="Times New Roman" w:hAnsi="Times New Roman" w:cs="Times New Roman"/>
          <w:color w:val="000000"/>
          <w:sz w:val="20"/>
          <w:szCs w:val="20"/>
        </w:rPr>
        <w:t xml:space="preserve">it has yet to be </w:t>
      </w:r>
      <w:r w:rsidR="00CD5D65">
        <w:rPr>
          <w:rFonts w:ascii="Times New Roman" w:eastAsia="Times New Roman" w:hAnsi="Times New Roman" w:cs="Times New Roman"/>
          <w:color w:val="000000"/>
          <w:sz w:val="20"/>
          <w:szCs w:val="20"/>
        </w:rPr>
        <w:t>employed</w:t>
      </w:r>
      <w:r w:rsidR="00616736">
        <w:rPr>
          <w:rFonts w:ascii="Times New Roman" w:eastAsia="Times New Roman" w:hAnsi="Times New Roman" w:cs="Times New Roman"/>
          <w:color w:val="000000"/>
          <w:sz w:val="20"/>
          <w:szCs w:val="20"/>
        </w:rPr>
        <w:t xml:space="preserve"> in a way </w:t>
      </w:r>
      <w:r w:rsidR="00803DA3">
        <w:rPr>
          <w:rFonts w:ascii="Times New Roman" w:eastAsia="Times New Roman" w:hAnsi="Times New Roman" w:cs="Times New Roman"/>
          <w:color w:val="000000"/>
          <w:sz w:val="20"/>
          <w:szCs w:val="20"/>
        </w:rPr>
        <w:t xml:space="preserve">that </w:t>
      </w:r>
      <w:r w:rsidR="00616736">
        <w:rPr>
          <w:rFonts w:ascii="Times New Roman" w:eastAsia="Times New Roman" w:hAnsi="Times New Roman" w:cs="Times New Roman"/>
          <w:color w:val="000000"/>
          <w:sz w:val="20"/>
          <w:szCs w:val="20"/>
        </w:rPr>
        <w:t>enable</w:t>
      </w:r>
      <w:r w:rsidR="00803DA3">
        <w:rPr>
          <w:rFonts w:ascii="Times New Roman" w:eastAsia="Times New Roman" w:hAnsi="Times New Roman" w:cs="Times New Roman"/>
          <w:color w:val="000000"/>
          <w:sz w:val="20"/>
          <w:szCs w:val="20"/>
        </w:rPr>
        <w:t>s</w:t>
      </w:r>
      <w:r w:rsidR="00616736">
        <w:rPr>
          <w:rFonts w:ascii="Times New Roman" w:eastAsia="Times New Roman" w:hAnsi="Times New Roman" w:cs="Times New Roman"/>
          <w:color w:val="000000"/>
          <w:sz w:val="20"/>
          <w:szCs w:val="20"/>
        </w:rPr>
        <w:t xml:space="preserve"> </w:t>
      </w:r>
      <w:r w:rsidR="00944664">
        <w:rPr>
          <w:rFonts w:ascii="Times New Roman" w:eastAsia="Times New Roman" w:hAnsi="Times New Roman" w:cs="Times New Roman"/>
          <w:color w:val="000000"/>
          <w:sz w:val="20"/>
          <w:szCs w:val="20"/>
        </w:rPr>
        <w:t>assessment</w:t>
      </w:r>
      <w:r w:rsidR="00616736">
        <w:rPr>
          <w:rFonts w:ascii="Times New Roman" w:eastAsia="Times New Roman" w:hAnsi="Times New Roman" w:cs="Times New Roman"/>
          <w:color w:val="000000"/>
          <w:sz w:val="20"/>
          <w:szCs w:val="20"/>
        </w:rPr>
        <w:t xml:space="preserve"> of the data itself for use in epidemiological research</w:t>
      </w:r>
      <w:r w:rsidR="00C3196D" w:rsidRPr="00C3196D">
        <w:rPr>
          <w:rFonts w:ascii="Times New Roman" w:eastAsia="Times New Roman" w:hAnsi="Times New Roman" w:cs="Times New Roman"/>
          <w:color w:val="000000"/>
          <w:sz w:val="20"/>
          <w:szCs w:val="20"/>
        </w:rPr>
        <w:fldChar w:fldCharType="begin"/>
      </w:r>
      <w:r w:rsidR="00575E2A">
        <w:rPr>
          <w:rFonts w:ascii="Times New Roman" w:eastAsia="Times New Roman" w:hAnsi="Times New Roman" w:cs="Times New Roman"/>
          <w:color w:val="000000"/>
          <w:sz w:val="20"/>
          <w:szCs w:val="20"/>
        </w:rPr>
        <w:instrText xml:space="preserve"> ADDIN EN.CITE &lt;EndNote&gt;&lt;Cite&gt;&lt;Author&gt;Voss&lt;/Author&gt;&lt;Year&gt;2015&lt;/Year&gt;&lt;RecNum&gt;6&lt;/RecNum&gt;&lt;DisplayText&gt;(3)&lt;/DisplayText&gt;&lt;record&gt;&lt;rec-number&gt;6&lt;/rec-number&gt;&lt;foreign-keys&gt;&lt;key app="EN" db-id="02ps0z5ds0sf5cefetl5pe0irz2esszf2r0a"&gt;6&lt;/key&gt;&lt;/foreign-keys&gt;&lt;ref-type name="Journal Article"&gt;17&lt;/ref-type&gt;&lt;contributors&gt;&lt;authors&gt;&lt;author&gt;Voss, Erica&lt;/author&gt;&lt;author&gt;Makadia, Rupa &lt;/author&gt;&lt;author&gt;Matcho, Amy&lt;/author&gt;&lt;author&gt;Ma, Qianli&lt;/author&gt;&lt;author&gt;Knoll, Chris&lt;/author&gt;&lt;author&gt;Schuemie, Martijn&lt;/author&gt;&lt;author&gt;DeFalco, Frank&lt;/author&gt;&lt;author&gt;Londhe, Ajit&lt;/author&gt;&lt;author&gt;Zhu, Vivienne&lt;/author&gt;&lt;author&gt;Ryan, Patrick&lt;/author&gt;&lt;/authors&gt;&lt;/contributors&gt;&lt;titles&gt;&lt;title&gt;Feasibility and utility of applications of the common data model to multiple, disparate observational health databases&lt;/title&gt;&lt;secondary-title&gt;Journal of the American Medical Informatics Association&lt;/secondary-title&gt;&lt;/titles&gt;&lt;periodical&gt;&lt;full-title&gt;Journal of the American Medical Informatics Association&lt;/full-title&gt;&lt;/periodical&gt;&lt;pages&gt;553-564&lt;/pages&gt;&lt;volume&gt;22&lt;/volume&gt;&lt;number&gt;3&lt;/number&gt;&lt;edition&gt;2015 Feb 10&lt;/edition&gt;&lt;dates&gt;&lt;year&gt;2015&lt;/year&gt;&lt;pub-dates&gt;&lt;date&gt;2015 May&lt;/date&gt;&lt;/pub-dates&gt;&lt;/dates&gt;&lt;urls&gt;&lt;/urls&gt;&lt;/record&gt;&lt;/Cite&gt;&lt;/EndNote&gt;</w:instrText>
      </w:r>
      <w:r w:rsidR="00C3196D" w:rsidRPr="00C3196D">
        <w:rPr>
          <w:rFonts w:ascii="Times New Roman" w:eastAsia="Times New Roman" w:hAnsi="Times New Roman" w:cs="Times New Roman"/>
          <w:color w:val="000000"/>
          <w:sz w:val="20"/>
          <w:szCs w:val="20"/>
        </w:rPr>
        <w:fldChar w:fldCharType="separate"/>
      </w:r>
      <w:r w:rsidR="00575E2A">
        <w:rPr>
          <w:rFonts w:ascii="Times New Roman" w:eastAsia="Times New Roman" w:hAnsi="Times New Roman" w:cs="Times New Roman"/>
          <w:noProof/>
          <w:color w:val="000000"/>
          <w:sz w:val="20"/>
          <w:szCs w:val="20"/>
        </w:rPr>
        <w:t>(</w:t>
      </w:r>
      <w:hyperlink w:anchor="_ENREF_3" w:tooltip="Voss, 2015 #6" w:history="1">
        <w:r w:rsidR="00575E2A">
          <w:rPr>
            <w:rFonts w:ascii="Times New Roman" w:eastAsia="Times New Roman" w:hAnsi="Times New Roman" w:cs="Times New Roman"/>
            <w:noProof/>
            <w:color w:val="000000"/>
            <w:sz w:val="20"/>
            <w:szCs w:val="20"/>
          </w:rPr>
          <w:t>3</w:t>
        </w:r>
      </w:hyperlink>
      <w:r w:rsidR="00575E2A">
        <w:rPr>
          <w:rFonts w:ascii="Times New Roman" w:eastAsia="Times New Roman" w:hAnsi="Times New Roman" w:cs="Times New Roman"/>
          <w:noProof/>
          <w:color w:val="000000"/>
          <w:sz w:val="20"/>
          <w:szCs w:val="20"/>
        </w:rPr>
        <w:t>)</w:t>
      </w:r>
      <w:r w:rsidR="00C3196D" w:rsidRPr="00C3196D">
        <w:rPr>
          <w:rFonts w:ascii="Times New Roman" w:eastAsia="Times New Roman" w:hAnsi="Times New Roman" w:cs="Times New Roman"/>
          <w:color w:val="000000"/>
          <w:sz w:val="20"/>
          <w:szCs w:val="20"/>
        </w:rPr>
        <w:fldChar w:fldCharType="end"/>
      </w:r>
      <w:r w:rsidR="00616736">
        <w:rPr>
          <w:rFonts w:ascii="Times New Roman" w:eastAsia="Times New Roman" w:hAnsi="Times New Roman" w:cs="Times New Roman"/>
          <w:color w:val="000000"/>
          <w:sz w:val="20"/>
          <w:szCs w:val="20"/>
        </w:rPr>
        <w:t xml:space="preserve">.  </w:t>
      </w:r>
    </w:p>
    <w:p w:rsidR="00292E52" w:rsidRPr="00944664" w:rsidRDefault="008D06DB" w:rsidP="00292E52">
      <w:pPr>
        <w:spacing w:before="120" w:after="120" w:line="240" w:lineRule="auto"/>
        <w:jc w:val="both"/>
        <w:rPr>
          <w:rFonts w:ascii="Times New Roman" w:eastAsia="Times New Roman" w:hAnsi="Times New Roman" w:cs="Times New Roman"/>
          <w:sz w:val="28"/>
          <w:szCs w:val="24"/>
        </w:rPr>
      </w:pPr>
      <w:r w:rsidRPr="00944664">
        <w:rPr>
          <w:rFonts w:ascii="Times New Roman" w:eastAsia="Times New Roman" w:hAnsi="Times New Roman" w:cs="Times New Roman"/>
          <w:b/>
          <w:bCs/>
          <w:color w:val="000000"/>
          <w:szCs w:val="20"/>
        </w:rPr>
        <w:t>Methods</w:t>
      </w:r>
    </w:p>
    <w:p w:rsidR="00111666" w:rsidRDefault="00111666" w:rsidP="008C1C58">
      <w:pPr>
        <w:rPr>
          <w:rFonts w:ascii="Times New Roman" w:hAnsi="Times New Roman" w:cs="Times New Roman"/>
          <w:sz w:val="20"/>
        </w:rPr>
      </w:pPr>
      <w:r>
        <w:rPr>
          <w:rFonts w:ascii="Times New Roman" w:hAnsi="Times New Roman" w:cs="Times New Roman"/>
          <w:sz w:val="20"/>
        </w:rPr>
        <w:t xml:space="preserve">Medical and pharmacy data from a large claims clearinghouse was obtained and, to serve as a control, pharmacy data from a prescription benefits plan was linked at the patient level using </w:t>
      </w:r>
      <w:r w:rsidR="001D3030">
        <w:rPr>
          <w:rFonts w:ascii="Times New Roman" w:hAnsi="Times New Roman" w:cs="Times New Roman"/>
          <w:sz w:val="20"/>
        </w:rPr>
        <w:t>protected health information (PHI)</w:t>
      </w:r>
      <w:r>
        <w:rPr>
          <w:rFonts w:ascii="Times New Roman" w:hAnsi="Times New Roman" w:cs="Times New Roman"/>
          <w:sz w:val="20"/>
        </w:rPr>
        <w:t xml:space="preserve">. </w:t>
      </w:r>
      <w:r w:rsidR="005105BF">
        <w:rPr>
          <w:rFonts w:ascii="Times New Roman" w:hAnsi="Times New Roman" w:cs="Times New Roman"/>
          <w:sz w:val="20"/>
        </w:rPr>
        <w:t xml:space="preserve">Non-linked commercial medical claims were also obtained from </w:t>
      </w:r>
      <w:proofErr w:type="spellStart"/>
      <w:r w:rsidR="00CA25F1" w:rsidRPr="00CA25F1">
        <w:rPr>
          <w:rFonts w:ascii="Times New Roman" w:hAnsi="Times New Roman" w:cs="Times New Roman"/>
          <w:sz w:val="20"/>
        </w:rPr>
        <w:t>Truven</w:t>
      </w:r>
      <w:proofErr w:type="spellEnd"/>
      <w:r w:rsidR="00CA25F1" w:rsidRPr="00CA25F1">
        <w:rPr>
          <w:rFonts w:ascii="Times New Roman" w:hAnsi="Times New Roman" w:cs="Times New Roman"/>
          <w:sz w:val="20"/>
        </w:rPr>
        <w:t xml:space="preserve"> Health </w:t>
      </w:r>
      <w:proofErr w:type="spellStart"/>
      <w:r w:rsidR="00CA25F1" w:rsidRPr="00CA25F1">
        <w:rPr>
          <w:rFonts w:ascii="Times New Roman" w:hAnsi="Times New Roman" w:cs="Times New Roman"/>
          <w:sz w:val="20"/>
        </w:rPr>
        <w:t>MarketScan</w:t>
      </w:r>
      <w:proofErr w:type="spellEnd"/>
      <w:r w:rsidR="00CA25F1" w:rsidRPr="00CA25F1">
        <w:rPr>
          <w:rFonts w:ascii="Times New Roman" w:hAnsi="Times New Roman" w:cs="Times New Roman"/>
          <w:sz w:val="20"/>
        </w:rPr>
        <w:t>® Commercial Claims and Encounters Database</w:t>
      </w:r>
      <w:r w:rsidR="00CA25F1">
        <w:rPr>
          <w:rFonts w:ascii="Times New Roman" w:hAnsi="Times New Roman" w:cs="Times New Roman"/>
          <w:sz w:val="20"/>
        </w:rPr>
        <w:t xml:space="preserve"> </w:t>
      </w:r>
      <w:r w:rsidR="005105BF">
        <w:rPr>
          <w:rFonts w:ascii="Times New Roman" w:hAnsi="Times New Roman" w:cs="Times New Roman"/>
          <w:sz w:val="20"/>
        </w:rPr>
        <w:t>for use as a high-level comparison.</w:t>
      </w:r>
    </w:p>
    <w:p w:rsidR="00944664" w:rsidRDefault="00944664" w:rsidP="008C1C58">
      <w:pPr>
        <w:rPr>
          <w:rFonts w:ascii="Times New Roman" w:hAnsi="Times New Roman" w:cs="Times New Roman"/>
          <w:b/>
          <w:sz w:val="20"/>
        </w:rPr>
      </w:pPr>
      <w:r w:rsidRPr="00944664">
        <w:rPr>
          <w:rFonts w:ascii="Times New Roman" w:hAnsi="Times New Roman" w:cs="Times New Roman"/>
          <w:b/>
          <w:sz w:val="20"/>
        </w:rPr>
        <w:t>Metrics</w:t>
      </w:r>
    </w:p>
    <w:p w:rsidR="00111666" w:rsidRDefault="00111666" w:rsidP="008C1C58">
      <w:pPr>
        <w:rPr>
          <w:rFonts w:ascii="Times New Roman" w:hAnsi="Times New Roman" w:cs="Times New Roman"/>
          <w:sz w:val="20"/>
        </w:rPr>
      </w:pPr>
      <w:r>
        <w:rPr>
          <w:rFonts w:ascii="Times New Roman" w:hAnsi="Times New Roman" w:cs="Times New Roman"/>
          <w:sz w:val="20"/>
        </w:rPr>
        <w:t xml:space="preserve">To understand the amount of information possibly missing from </w:t>
      </w:r>
      <w:r w:rsidR="008D4216">
        <w:rPr>
          <w:rFonts w:ascii="Times New Roman" w:hAnsi="Times New Roman" w:cs="Times New Roman"/>
          <w:sz w:val="20"/>
        </w:rPr>
        <w:t>open claims</w:t>
      </w:r>
      <w:r>
        <w:rPr>
          <w:rFonts w:ascii="Times New Roman" w:hAnsi="Times New Roman" w:cs="Times New Roman"/>
          <w:sz w:val="20"/>
        </w:rPr>
        <w:t xml:space="preserve"> and to understand how it compares to a </w:t>
      </w:r>
      <w:r w:rsidR="00A20F17">
        <w:rPr>
          <w:rFonts w:ascii="Times New Roman" w:hAnsi="Times New Roman" w:cs="Times New Roman"/>
          <w:sz w:val="20"/>
        </w:rPr>
        <w:t xml:space="preserve">traditional </w:t>
      </w:r>
      <w:r>
        <w:rPr>
          <w:rFonts w:ascii="Times New Roman" w:hAnsi="Times New Roman" w:cs="Times New Roman"/>
          <w:sz w:val="20"/>
        </w:rPr>
        <w:t>closed claims system the following metrics were chosen:</w:t>
      </w:r>
    </w:p>
    <w:p w:rsidR="00111666" w:rsidRDefault="00111666" w:rsidP="00111666">
      <w:pPr>
        <w:pStyle w:val="ListParagraph"/>
        <w:numPr>
          <w:ilvl w:val="0"/>
          <w:numId w:val="3"/>
        </w:numPr>
        <w:rPr>
          <w:rFonts w:ascii="Times New Roman" w:hAnsi="Times New Roman" w:cs="Times New Roman"/>
          <w:sz w:val="20"/>
        </w:rPr>
      </w:pPr>
      <w:r>
        <w:rPr>
          <w:rFonts w:ascii="Times New Roman" w:hAnsi="Times New Roman" w:cs="Times New Roman"/>
          <w:sz w:val="20"/>
        </w:rPr>
        <w:t xml:space="preserve">Measure the overlap between the open claims and the </w:t>
      </w:r>
      <w:r w:rsidR="00777DB3">
        <w:rPr>
          <w:rFonts w:ascii="Times New Roman" w:hAnsi="Times New Roman" w:cs="Times New Roman"/>
          <w:sz w:val="20"/>
        </w:rPr>
        <w:t>closed</w:t>
      </w:r>
      <w:r>
        <w:rPr>
          <w:rFonts w:ascii="Times New Roman" w:hAnsi="Times New Roman" w:cs="Times New Roman"/>
          <w:sz w:val="20"/>
        </w:rPr>
        <w:t xml:space="preserve"> claims </w:t>
      </w:r>
      <w:r w:rsidR="00D553D1">
        <w:rPr>
          <w:rFonts w:ascii="Times New Roman" w:hAnsi="Times New Roman" w:cs="Times New Roman"/>
          <w:sz w:val="20"/>
        </w:rPr>
        <w:t>for</w:t>
      </w:r>
      <w:r>
        <w:rPr>
          <w:rFonts w:ascii="Times New Roman" w:hAnsi="Times New Roman" w:cs="Times New Roman"/>
          <w:sz w:val="20"/>
        </w:rPr>
        <w:t xml:space="preserve"> prescription drugs occurring per person per day during the same time period</w:t>
      </w:r>
      <w:r w:rsidR="00487E61">
        <w:rPr>
          <w:rFonts w:ascii="Times New Roman" w:hAnsi="Times New Roman" w:cs="Times New Roman"/>
          <w:sz w:val="20"/>
        </w:rPr>
        <w:t xml:space="preserve"> to </w:t>
      </w:r>
      <w:r w:rsidR="004D114F">
        <w:rPr>
          <w:rFonts w:ascii="Times New Roman" w:hAnsi="Times New Roman" w:cs="Times New Roman"/>
          <w:sz w:val="20"/>
        </w:rPr>
        <w:t>quantify</w:t>
      </w:r>
      <w:r w:rsidR="00487E61">
        <w:rPr>
          <w:rFonts w:ascii="Times New Roman" w:hAnsi="Times New Roman" w:cs="Times New Roman"/>
          <w:sz w:val="20"/>
        </w:rPr>
        <w:t xml:space="preserve"> </w:t>
      </w:r>
      <w:r w:rsidR="00777DB3">
        <w:rPr>
          <w:rFonts w:ascii="Times New Roman" w:hAnsi="Times New Roman" w:cs="Times New Roman"/>
          <w:sz w:val="20"/>
        </w:rPr>
        <w:t xml:space="preserve">the </w:t>
      </w:r>
      <w:r w:rsidR="00487E61">
        <w:rPr>
          <w:rFonts w:ascii="Times New Roman" w:hAnsi="Times New Roman" w:cs="Times New Roman"/>
          <w:sz w:val="20"/>
        </w:rPr>
        <w:t>missing</w:t>
      </w:r>
      <w:r w:rsidR="004D114F">
        <w:rPr>
          <w:rFonts w:ascii="Times New Roman" w:hAnsi="Times New Roman" w:cs="Times New Roman"/>
          <w:sz w:val="20"/>
        </w:rPr>
        <w:t xml:space="preserve"> data</w:t>
      </w:r>
      <w:r w:rsidR="00487E61">
        <w:rPr>
          <w:rFonts w:ascii="Times New Roman" w:hAnsi="Times New Roman" w:cs="Times New Roman"/>
          <w:sz w:val="20"/>
        </w:rPr>
        <w:t xml:space="preserve"> from </w:t>
      </w:r>
      <w:r w:rsidR="00777DB3">
        <w:rPr>
          <w:rFonts w:ascii="Times New Roman" w:hAnsi="Times New Roman" w:cs="Times New Roman"/>
          <w:sz w:val="20"/>
        </w:rPr>
        <w:t>the open claims</w:t>
      </w:r>
      <w:r w:rsidR="00487E61">
        <w:rPr>
          <w:rFonts w:ascii="Times New Roman" w:hAnsi="Times New Roman" w:cs="Times New Roman"/>
          <w:sz w:val="20"/>
        </w:rPr>
        <w:t xml:space="preserve"> that would be provided by </w:t>
      </w:r>
      <w:r w:rsidR="00777DB3">
        <w:rPr>
          <w:rFonts w:ascii="Times New Roman" w:hAnsi="Times New Roman" w:cs="Times New Roman"/>
          <w:sz w:val="20"/>
        </w:rPr>
        <w:t>the closed system</w:t>
      </w:r>
      <w:r w:rsidR="00487E61">
        <w:rPr>
          <w:rFonts w:ascii="Times New Roman" w:hAnsi="Times New Roman" w:cs="Times New Roman"/>
          <w:sz w:val="20"/>
        </w:rPr>
        <w:t xml:space="preserve"> and vice-versa.</w:t>
      </w:r>
    </w:p>
    <w:p w:rsidR="005105BF" w:rsidRDefault="00487E61" w:rsidP="00111666">
      <w:pPr>
        <w:pStyle w:val="ListParagraph"/>
        <w:numPr>
          <w:ilvl w:val="0"/>
          <w:numId w:val="3"/>
        </w:numPr>
        <w:rPr>
          <w:rFonts w:ascii="Times New Roman" w:hAnsi="Times New Roman" w:cs="Times New Roman"/>
          <w:sz w:val="20"/>
        </w:rPr>
      </w:pPr>
      <w:r>
        <w:rPr>
          <w:rFonts w:ascii="Times New Roman" w:hAnsi="Times New Roman" w:cs="Times New Roman"/>
          <w:sz w:val="20"/>
        </w:rPr>
        <w:lastRenderedPageBreak/>
        <w:t xml:space="preserve">Compare the proportion of drug exposures at the ingredient level among persons in both </w:t>
      </w:r>
      <w:r w:rsidR="00777DB3">
        <w:rPr>
          <w:rFonts w:ascii="Times New Roman" w:hAnsi="Times New Roman" w:cs="Times New Roman"/>
          <w:sz w:val="20"/>
        </w:rPr>
        <w:t>the open</w:t>
      </w:r>
      <w:r>
        <w:rPr>
          <w:rFonts w:ascii="Times New Roman" w:hAnsi="Times New Roman" w:cs="Times New Roman"/>
          <w:sz w:val="20"/>
        </w:rPr>
        <w:t xml:space="preserve"> and </w:t>
      </w:r>
      <w:r w:rsidR="00777DB3">
        <w:rPr>
          <w:rFonts w:ascii="Times New Roman" w:hAnsi="Times New Roman" w:cs="Times New Roman"/>
          <w:sz w:val="20"/>
        </w:rPr>
        <w:t>closed systems</w:t>
      </w:r>
      <w:r>
        <w:rPr>
          <w:rFonts w:ascii="Times New Roman" w:hAnsi="Times New Roman" w:cs="Times New Roman"/>
          <w:sz w:val="20"/>
        </w:rPr>
        <w:t xml:space="preserve"> during the same time</w:t>
      </w:r>
      <w:r w:rsidR="004D114F">
        <w:rPr>
          <w:rFonts w:ascii="Times New Roman" w:hAnsi="Times New Roman" w:cs="Times New Roman"/>
          <w:sz w:val="20"/>
        </w:rPr>
        <w:t xml:space="preserve"> period</w:t>
      </w:r>
      <w:r w:rsidR="005105BF">
        <w:rPr>
          <w:rFonts w:ascii="Times New Roman" w:hAnsi="Times New Roman" w:cs="Times New Roman"/>
          <w:sz w:val="20"/>
        </w:rPr>
        <w:t xml:space="preserve"> to identify drugs that occur more often in one database versus the other</w:t>
      </w:r>
      <w:r>
        <w:rPr>
          <w:rFonts w:ascii="Times New Roman" w:hAnsi="Times New Roman" w:cs="Times New Roman"/>
          <w:sz w:val="20"/>
        </w:rPr>
        <w:t>.</w:t>
      </w:r>
    </w:p>
    <w:p w:rsidR="00D553D1" w:rsidRPr="00111666" w:rsidRDefault="005105BF" w:rsidP="001D3030">
      <w:pPr>
        <w:pStyle w:val="ListParagraph"/>
        <w:numPr>
          <w:ilvl w:val="0"/>
          <w:numId w:val="3"/>
        </w:numPr>
        <w:rPr>
          <w:rFonts w:ascii="Times New Roman" w:hAnsi="Times New Roman" w:cs="Times New Roman"/>
          <w:sz w:val="20"/>
        </w:rPr>
      </w:pPr>
      <w:r>
        <w:rPr>
          <w:rFonts w:ascii="Times New Roman" w:hAnsi="Times New Roman" w:cs="Times New Roman"/>
          <w:sz w:val="20"/>
        </w:rPr>
        <w:t xml:space="preserve">For a set of defined new user drug cohorts, compare the baseline prevalence of conditions between </w:t>
      </w:r>
      <w:r w:rsidR="00777DB3">
        <w:rPr>
          <w:rFonts w:ascii="Times New Roman" w:hAnsi="Times New Roman" w:cs="Times New Roman"/>
          <w:sz w:val="20"/>
        </w:rPr>
        <w:t>the open claims</w:t>
      </w:r>
      <w:r>
        <w:rPr>
          <w:rFonts w:ascii="Times New Roman" w:hAnsi="Times New Roman" w:cs="Times New Roman"/>
          <w:sz w:val="20"/>
        </w:rPr>
        <w:t xml:space="preserve"> and </w:t>
      </w:r>
      <w:proofErr w:type="spellStart"/>
      <w:r w:rsidR="001D3030" w:rsidRPr="001D3030">
        <w:rPr>
          <w:rFonts w:ascii="Times New Roman" w:hAnsi="Times New Roman" w:cs="Times New Roman"/>
          <w:sz w:val="20"/>
        </w:rPr>
        <w:t>Truven</w:t>
      </w:r>
      <w:proofErr w:type="spellEnd"/>
      <w:r w:rsidR="001D3030" w:rsidRPr="001D3030">
        <w:rPr>
          <w:rFonts w:ascii="Times New Roman" w:hAnsi="Times New Roman" w:cs="Times New Roman"/>
          <w:sz w:val="20"/>
        </w:rPr>
        <w:t xml:space="preserve"> Health </w:t>
      </w:r>
      <w:proofErr w:type="spellStart"/>
      <w:r w:rsidR="001D3030" w:rsidRPr="001D3030">
        <w:rPr>
          <w:rFonts w:ascii="Times New Roman" w:hAnsi="Times New Roman" w:cs="Times New Roman"/>
          <w:sz w:val="20"/>
        </w:rPr>
        <w:t>MarketScan</w:t>
      </w:r>
      <w:proofErr w:type="spellEnd"/>
      <w:r w:rsidR="001D3030" w:rsidRPr="001D3030">
        <w:rPr>
          <w:rFonts w:ascii="Times New Roman" w:hAnsi="Times New Roman" w:cs="Times New Roman"/>
          <w:sz w:val="20"/>
        </w:rPr>
        <w:t>® Commercial Claims and Encounters Database</w:t>
      </w:r>
      <w:r w:rsidR="001D3030">
        <w:rPr>
          <w:rFonts w:ascii="Times New Roman" w:hAnsi="Times New Roman" w:cs="Times New Roman"/>
          <w:sz w:val="20"/>
        </w:rPr>
        <w:t xml:space="preserve"> </w:t>
      </w:r>
      <w:r>
        <w:rPr>
          <w:rFonts w:ascii="Times New Roman" w:hAnsi="Times New Roman" w:cs="Times New Roman"/>
          <w:sz w:val="20"/>
        </w:rPr>
        <w:t xml:space="preserve">to assess if open claims capture the same proportion of conditions during the time prior to drug exposure. </w:t>
      </w:r>
      <w:r w:rsidR="00487E61">
        <w:rPr>
          <w:rFonts w:ascii="Times New Roman" w:hAnsi="Times New Roman" w:cs="Times New Roman"/>
          <w:sz w:val="20"/>
        </w:rPr>
        <w:t xml:space="preserve"> </w:t>
      </w:r>
    </w:p>
    <w:p w:rsidR="00944664" w:rsidRPr="00944664" w:rsidRDefault="00944664" w:rsidP="008C1C58">
      <w:pPr>
        <w:rPr>
          <w:rFonts w:ascii="Times New Roman" w:hAnsi="Times New Roman" w:cs="Times New Roman"/>
          <w:b/>
          <w:sz w:val="20"/>
        </w:rPr>
      </w:pPr>
      <w:r w:rsidRPr="00944664">
        <w:rPr>
          <w:rFonts w:ascii="Times New Roman" w:hAnsi="Times New Roman" w:cs="Times New Roman"/>
          <w:b/>
          <w:sz w:val="20"/>
        </w:rPr>
        <w:t>CDM Conversion</w:t>
      </w:r>
    </w:p>
    <w:p w:rsidR="008D06DB" w:rsidRDefault="005105BF" w:rsidP="008C1C58">
      <w:pPr>
        <w:rPr>
          <w:rFonts w:ascii="Times New Roman" w:hAnsi="Times New Roman" w:cs="Times New Roman"/>
          <w:sz w:val="20"/>
        </w:rPr>
      </w:pPr>
      <w:r>
        <w:rPr>
          <w:rFonts w:ascii="Times New Roman" w:hAnsi="Times New Roman" w:cs="Times New Roman"/>
          <w:sz w:val="20"/>
        </w:rPr>
        <w:t>To enable calculation of the metrics defined above, t</w:t>
      </w:r>
      <w:r w:rsidR="00BE30C2">
        <w:rPr>
          <w:rFonts w:ascii="Times New Roman" w:hAnsi="Times New Roman" w:cs="Times New Roman"/>
          <w:sz w:val="20"/>
        </w:rPr>
        <w:t>he intersect</w:t>
      </w:r>
      <w:r w:rsidR="004D114F">
        <w:rPr>
          <w:rFonts w:ascii="Times New Roman" w:hAnsi="Times New Roman" w:cs="Times New Roman"/>
          <w:sz w:val="20"/>
        </w:rPr>
        <w:t>ion</w:t>
      </w:r>
      <w:r w:rsidR="00BE30C2">
        <w:rPr>
          <w:rFonts w:ascii="Times New Roman" w:hAnsi="Times New Roman" w:cs="Times New Roman"/>
          <w:sz w:val="20"/>
        </w:rPr>
        <w:t xml:space="preserve"> of </w:t>
      </w:r>
      <w:r>
        <w:rPr>
          <w:rFonts w:ascii="Times New Roman" w:hAnsi="Times New Roman" w:cs="Times New Roman"/>
          <w:sz w:val="20"/>
        </w:rPr>
        <w:t xml:space="preserve">patients between </w:t>
      </w:r>
      <w:r w:rsidR="00575E2A">
        <w:rPr>
          <w:rFonts w:ascii="Times New Roman" w:hAnsi="Times New Roman" w:cs="Times New Roman"/>
          <w:sz w:val="20"/>
        </w:rPr>
        <w:t>an open claims database</w:t>
      </w:r>
      <w:r>
        <w:rPr>
          <w:rFonts w:ascii="Times New Roman" w:hAnsi="Times New Roman" w:cs="Times New Roman"/>
          <w:sz w:val="20"/>
        </w:rPr>
        <w:t xml:space="preserve"> and </w:t>
      </w:r>
      <w:r w:rsidR="00575E2A">
        <w:rPr>
          <w:rFonts w:ascii="Times New Roman" w:hAnsi="Times New Roman" w:cs="Times New Roman"/>
          <w:sz w:val="20"/>
        </w:rPr>
        <w:t>a closed claims database</w:t>
      </w:r>
      <w:r w:rsidR="00BE30C2">
        <w:rPr>
          <w:rFonts w:ascii="Times New Roman" w:hAnsi="Times New Roman" w:cs="Times New Roman"/>
          <w:sz w:val="20"/>
        </w:rPr>
        <w:t xml:space="preserve"> was de-identified and then transformed into the OMOP CDM.</w:t>
      </w:r>
      <w:r w:rsidR="00A55A09">
        <w:rPr>
          <w:rFonts w:ascii="Times New Roman" w:hAnsi="Times New Roman" w:cs="Times New Roman"/>
          <w:sz w:val="20"/>
        </w:rPr>
        <w:t xml:space="preserve"> </w:t>
      </w:r>
      <w:r w:rsidR="00BE30C2">
        <w:rPr>
          <w:rFonts w:ascii="Times New Roman" w:hAnsi="Times New Roman" w:cs="Times New Roman"/>
          <w:sz w:val="20"/>
        </w:rPr>
        <w:t>Unlike many extract, transform, load (ETL) processes that</w:t>
      </w:r>
      <w:r w:rsidR="00BD5876">
        <w:rPr>
          <w:rFonts w:ascii="Times New Roman" w:hAnsi="Times New Roman" w:cs="Times New Roman"/>
          <w:sz w:val="20"/>
        </w:rPr>
        <w:t xml:space="preserve"> have been described previously</w:t>
      </w:r>
      <w:r w:rsidR="00C3196D" w:rsidRPr="00C3196D">
        <w:rPr>
          <w:rFonts w:ascii="Times New Roman" w:hAnsi="Times New Roman" w:cs="Times New Roman"/>
          <w:sz w:val="20"/>
        </w:rPr>
        <w:fldChar w:fldCharType="begin"/>
      </w:r>
      <w:r w:rsidR="00575E2A">
        <w:rPr>
          <w:rFonts w:ascii="Times New Roman" w:hAnsi="Times New Roman" w:cs="Times New Roman"/>
          <w:sz w:val="20"/>
        </w:rPr>
        <w:instrText xml:space="preserve"> ADDIN EN.CITE &lt;EndNote&gt;&lt;Cite&gt;&lt;Author&gt;Voss&lt;/Author&gt;&lt;Year&gt;2015&lt;/Year&gt;&lt;RecNum&gt;6&lt;/RecNum&gt;&lt;DisplayText&gt;(3)&lt;/DisplayText&gt;&lt;record&gt;&lt;rec-number&gt;6&lt;/rec-number&gt;&lt;foreign-keys&gt;&lt;key app="EN" db-id="02ps0z5ds0sf5cefetl5pe0irz2esszf2r0a"&gt;6&lt;/key&gt;&lt;/foreign-keys&gt;&lt;ref-type name="Journal Article"&gt;17&lt;/ref-type&gt;&lt;contributors&gt;&lt;authors&gt;&lt;author&gt;Voss, Erica&lt;/author&gt;&lt;author&gt;Makadia, Rupa &lt;/author&gt;&lt;author&gt;Matcho, Amy&lt;/author&gt;&lt;author&gt;Ma, Qianli&lt;/author&gt;&lt;author&gt;Knoll, Chris&lt;/author&gt;&lt;author&gt;Schuemie, Martijn&lt;/author&gt;&lt;author&gt;DeFalco, Frank&lt;/author&gt;&lt;author&gt;Londhe, Ajit&lt;/author&gt;&lt;author&gt;Zhu, Vivienne&lt;/author&gt;&lt;author&gt;Ryan, Patrick&lt;/author&gt;&lt;/authors&gt;&lt;/contributors&gt;&lt;titles&gt;&lt;title&gt;Feasibility and utility of applications of the common data model to multiple, disparate observational health databases&lt;/title&gt;&lt;secondary-title&gt;Journal of the American Medical Informatics Association&lt;/secondary-title&gt;&lt;/titles&gt;&lt;periodical&gt;&lt;full-title&gt;Journal of the American Medical Informatics Association&lt;/full-title&gt;&lt;/periodical&gt;&lt;pages&gt;553-564&lt;/pages&gt;&lt;volume&gt;22&lt;/volume&gt;&lt;number&gt;3&lt;/number&gt;&lt;edition&gt;2015 Feb 10&lt;/edition&gt;&lt;dates&gt;&lt;year&gt;2015&lt;/year&gt;&lt;pub-dates&gt;&lt;date&gt;2015 May&lt;/date&gt;&lt;/pub-dates&gt;&lt;/dates&gt;&lt;urls&gt;&lt;/urls&gt;&lt;/record&gt;&lt;/Cite&gt;&lt;/EndNote&gt;</w:instrText>
      </w:r>
      <w:r w:rsidR="00C3196D" w:rsidRPr="00C3196D">
        <w:rPr>
          <w:rFonts w:ascii="Times New Roman" w:hAnsi="Times New Roman" w:cs="Times New Roman"/>
          <w:sz w:val="20"/>
        </w:rPr>
        <w:fldChar w:fldCharType="separate"/>
      </w:r>
      <w:r w:rsidR="00575E2A">
        <w:rPr>
          <w:rFonts w:ascii="Times New Roman" w:hAnsi="Times New Roman" w:cs="Times New Roman"/>
          <w:noProof/>
          <w:sz w:val="20"/>
        </w:rPr>
        <w:t>(</w:t>
      </w:r>
      <w:hyperlink w:anchor="_ENREF_3" w:tooltip="Voss, 2015 #6" w:history="1">
        <w:r w:rsidR="00575E2A">
          <w:rPr>
            <w:rFonts w:ascii="Times New Roman" w:hAnsi="Times New Roman" w:cs="Times New Roman"/>
            <w:noProof/>
            <w:sz w:val="20"/>
          </w:rPr>
          <w:t>3</w:t>
        </w:r>
      </w:hyperlink>
      <w:r w:rsidR="00575E2A">
        <w:rPr>
          <w:rFonts w:ascii="Times New Roman" w:hAnsi="Times New Roman" w:cs="Times New Roman"/>
          <w:noProof/>
          <w:sz w:val="20"/>
        </w:rPr>
        <w:t>)</w:t>
      </w:r>
      <w:r w:rsidR="00C3196D" w:rsidRPr="00C3196D">
        <w:rPr>
          <w:rFonts w:ascii="Times New Roman" w:hAnsi="Times New Roman" w:cs="Times New Roman"/>
          <w:sz w:val="20"/>
        </w:rPr>
        <w:fldChar w:fldCharType="end"/>
      </w:r>
      <w:r w:rsidR="00A165B1">
        <w:rPr>
          <w:rFonts w:ascii="Times New Roman" w:hAnsi="Times New Roman" w:cs="Times New Roman"/>
          <w:sz w:val="20"/>
        </w:rPr>
        <w:t xml:space="preserve">, the raw dataset contained information </w:t>
      </w:r>
      <w:r w:rsidR="00BD5876">
        <w:rPr>
          <w:rFonts w:ascii="Times New Roman" w:hAnsi="Times New Roman" w:cs="Times New Roman"/>
          <w:sz w:val="20"/>
        </w:rPr>
        <w:t>from two separate sources</w:t>
      </w:r>
      <w:r w:rsidR="00CB6A26">
        <w:rPr>
          <w:rFonts w:ascii="Times New Roman" w:hAnsi="Times New Roman" w:cs="Times New Roman"/>
          <w:sz w:val="20"/>
        </w:rPr>
        <w:t xml:space="preserve"> which necessitated </w:t>
      </w:r>
      <w:r w:rsidR="00743B85">
        <w:rPr>
          <w:rFonts w:ascii="Times New Roman" w:hAnsi="Times New Roman" w:cs="Times New Roman"/>
          <w:sz w:val="20"/>
        </w:rPr>
        <w:t xml:space="preserve">designing the tables </w:t>
      </w:r>
      <w:r w:rsidR="008D4216">
        <w:rPr>
          <w:rFonts w:ascii="Times New Roman" w:hAnsi="Times New Roman" w:cs="Times New Roman"/>
          <w:sz w:val="20"/>
        </w:rPr>
        <w:t>such a</w:t>
      </w:r>
      <w:r w:rsidR="00743B85">
        <w:rPr>
          <w:rFonts w:ascii="Times New Roman" w:hAnsi="Times New Roman" w:cs="Times New Roman"/>
          <w:sz w:val="20"/>
        </w:rPr>
        <w:t xml:space="preserve"> way so that each source was still identifiable after transformation</w:t>
      </w:r>
      <w:r w:rsidR="00575E2A">
        <w:rPr>
          <w:rFonts w:ascii="Times New Roman" w:hAnsi="Times New Roman" w:cs="Times New Roman"/>
          <w:sz w:val="20"/>
        </w:rPr>
        <w:t xml:space="preserve"> so that the metrics defined above could be quantified</w:t>
      </w:r>
      <w:r w:rsidR="00743B85">
        <w:rPr>
          <w:rFonts w:ascii="Times New Roman" w:hAnsi="Times New Roman" w:cs="Times New Roman"/>
          <w:sz w:val="20"/>
        </w:rPr>
        <w:t>. This included:</w:t>
      </w:r>
    </w:p>
    <w:p w:rsidR="00743B85" w:rsidRDefault="00743B85" w:rsidP="00743B85">
      <w:pPr>
        <w:pStyle w:val="ListParagraph"/>
        <w:numPr>
          <w:ilvl w:val="0"/>
          <w:numId w:val="2"/>
        </w:numPr>
        <w:rPr>
          <w:rFonts w:ascii="Times New Roman" w:hAnsi="Times New Roman" w:cs="Times New Roman"/>
          <w:sz w:val="20"/>
        </w:rPr>
      </w:pPr>
      <w:r>
        <w:rPr>
          <w:rFonts w:ascii="Times New Roman" w:hAnsi="Times New Roman" w:cs="Times New Roman"/>
          <w:sz w:val="20"/>
        </w:rPr>
        <w:t xml:space="preserve">Using *_TYPE_CONCEPT_IDs as proxies for each database. </w:t>
      </w:r>
      <w:r w:rsidR="00073855">
        <w:rPr>
          <w:rFonts w:ascii="Times New Roman" w:hAnsi="Times New Roman" w:cs="Times New Roman"/>
          <w:sz w:val="20"/>
        </w:rPr>
        <w:t xml:space="preserve">For example, in the DRUG_EXPOSURE table the closed claims were given DRUG_TYPE_CONCEPT_ID = 38000177 and the open claims were given DRUG_TYPE_CONCEPT_ID = 38000175. </w:t>
      </w:r>
    </w:p>
    <w:p w:rsidR="004B52B7" w:rsidRPr="00D553D1" w:rsidRDefault="00073855" w:rsidP="004B52B7">
      <w:pPr>
        <w:pStyle w:val="ListParagraph"/>
        <w:numPr>
          <w:ilvl w:val="0"/>
          <w:numId w:val="2"/>
        </w:numPr>
        <w:rPr>
          <w:rFonts w:ascii="Times New Roman" w:eastAsia="Times New Roman" w:hAnsi="Times New Roman" w:cs="Times New Roman"/>
          <w:b/>
          <w:bCs/>
          <w:color w:val="000000"/>
          <w:sz w:val="20"/>
          <w:szCs w:val="20"/>
        </w:rPr>
      </w:pPr>
      <w:r w:rsidRPr="004B52B7">
        <w:rPr>
          <w:rFonts w:ascii="Times New Roman" w:hAnsi="Times New Roman" w:cs="Times New Roman"/>
          <w:sz w:val="20"/>
        </w:rPr>
        <w:t xml:space="preserve">Using the PAYER_PLAN_PERIOD and OBSERVATION_PERIOD tables to capture the amount of time contributed per person by each database. In this instance, the enrollment file from the prescription benefits closed claims system was used to create the PAYER_PLAN_PERIOD table, collapsing gaps of 32 days or </w:t>
      </w:r>
      <w:r w:rsidR="00AC2DDC">
        <w:rPr>
          <w:rFonts w:ascii="Times New Roman" w:hAnsi="Times New Roman" w:cs="Times New Roman"/>
          <w:sz w:val="20"/>
        </w:rPr>
        <w:t>fewer</w:t>
      </w:r>
      <w:r w:rsidRPr="004B52B7">
        <w:rPr>
          <w:rFonts w:ascii="Times New Roman" w:hAnsi="Times New Roman" w:cs="Times New Roman"/>
          <w:sz w:val="20"/>
        </w:rPr>
        <w:t xml:space="preserve">. </w:t>
      </w:r>
      <w:r w:rsidR="0052423B" w:rsidRPr="004B52B7">
        <w:rPr>
          <w:rFonts w:ascii="Times New Roman" w:hAnsi="Times New Roman" w:cs="Times New Roman"/>
          <w:sz w:val="20"/>
        </w:rPr>
        <w:t>The OBSERVATION_PERIOD table was created from the open claims by setting OBSERVATION_PERIOD_START_DATE</w:t>
      </w:r>
      <w:r w:rsidR="002E0D76">
        <w:rPr>
          <w:rFonts w:ascii="Times New Roman" w:hAnsi="Times New Roman" w:cs="Times New Roman"/>
          <w:sz w:val="20"/>
        </w:rPr>
        <w:t xml:space="preserve"> as </w:t>
      </w:r>
      <w:r w:rsidR="002E0D76" w:rsidRPr="004B52B7">
        <w:rPr>
          <w:rFonts w:ascii="Times New Roman" w:hAnsi="Times New Roman" w:cs="Times New Roman"/>
          <w:sz w:val="20"/>
        </w:rPr>
        <w:t>the earliest date available</w:t>
      </w:r>
      <w:r w:rsidR="0052423B" w:rsidRPr="004B52B7">
        <w:rPr>
          <w:rFonts w:ascii="Times New Roman" w:hAnsi="Times New Roman" w:cs="Times New Roman"/>
          <w:sz w:val="20"/>
        </w:rPr>
        <w:t xml:space="preserve"> and OBSERVATION_PERIOD_END_DATE</w:t>
      </w:r>
      <w:r w:rsidR="002E0D76">
        <w:rPr>
          <w:rFonts w:ascii="Times New Roman" w:hAnsi="Times New Roman" w:cs="Times New Roman"/>
          <w:sz w:val="20"/>
        </w:rPr>
        <w:t xml:space="preserve"> as </w:t>
      </w:r>
      <w:r w:rsidR="002E0D76" w:rsidRPr="004B52B7">
        <w:rPr>
          <w:rFonts w:ascii="Times New Roman" w:hAnsi="Times New Roman" w:cs="Times New Roman"/>
          <w:sz w:val="20"/>
        </w:rPr>
        <w:t>the latest date available</w:t>
      </w:r>
      <w:r w:rsidR="002E0D76">
        <w:rPr>
          <w:rFonts w:ascii="Times New Roman" w:hAnsi="Times New Roman" w:cs="Times New Roman"/>
          <w:sz w:val="20"/>
        </w:rPr>
        <w:t>, for each patient</w:t>
      </w:r>
      <w:r w:rsidR="0052423B" w:rsidRPr="004B52B7">
        <w:rPr>
          <w:rFonts w:ascii="Times New Roman" w:hAnsi="Times New Roman" w:cs="Times New Roman"/>
          <w:sz w:val="20"/>
        </w:rPr>
        <w:t xml:space="preserve">. </w:t>
      </w:r>
      <w:r w:rsidR="00131C2C">
        <w:rPr>
          <w:rFonts w:ascii="Times New Roman" w:hAnsi="Times New Roman" w:cs="Times New Roman"/>
          <w:sz w:val="20"/>
        </w:rPr>
        <w:t>T</w:t>
      </w:r>
      <w:r w:rsidR="0052423B" w:rsidRPr="004B52B7">
        <w:rPr>
          <w:rFonts w:ascii="Times New Roman" w:hAnsi="Times New Roman" w:cs="Times New Roman"/>
          <w:sz w:val="20"/>
        </w:rPr>
        <w:t xml:space="preserve">he two tables </w:t>
      </w:r>
      <w:r w:rsidR="009608D4" w:rsidRPr="004B52B7">
        <w:rPr>
          <w:rFonts w:ascii="Times New Roman" w:hAnsi="Times New Roman" w:cs="Times New Roman"/>
          <w:sz w:val="20"/>
        </w:rPr>
        <w:t>could then be used to find the overlapping time periods per person b</w:t>
      </w:r>
      <w:r w:rsidR="00935CDE">
        <w:rPr>
          <w:rFonts w:ascii="Times New Roman" w:hAnsi="Times New Roman" w:cs="Times New Roman"/>
          <w:sz w:val="20"/>
        </w:rPr>
        <w:t>etween the two source databases.</w:t>
      </w:r>
    </w:p>
    <w:p w:rsidR="003E2A78" w:rsidRDefault="003E2A78" w:rsidP="003E2A78">
      <w:pP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Conclusion</w:t>
      </w:r>
    </w:p>
    <w:p w:rsidR="00761E86" w:rsidRPr="00761E86" w:rsidRDefault="00761E86" w:rsidP="003E2A78">
      <w:pP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The use of open claims in observational health research is still a debated topic though little is understood about how well they represent the true picture of healthcare utilization for a given set of patients. </w:t>
      </w:r>
      <w:r w:rsidR="00D553D1">
        <w:rPr>
          <w:rFonts w:ascii="Times New Roman" w:eastAsia="Times New Roman" w:hAnsi="Times New Roman" w:cs="Times New Roman"/>
          <w:bCs/>
          <w:color w:val="000000"/>
          <w:sz w:val="20"/>
          <w:szCs w:val="20"/>
        </w:rPr>
        <w:t>By defining a set of metrics and designing an ETL in a way that allows for the assessment of those metrics, the OMOP</w:t>
      </w:r>
      <w:r>
        <w:rPr>
          <w:rFonts w:ascii="Times New Roman" w:eastAsia="Times New Roman" w:hAnsi="Times New Roman" w:cs="Times New Roman"/>
          <w:bCs/>
          <w:color w:val="000000"/>
          <w:sz w:val="20"/>
          <w:szCs w:val="20"/>
        </w:rPr>
        <w:t xml:space="preserve"> CDM </w:t>
      </w:r>
      <w:r w:rsidR="00D553D1">
        <w:rPr>
          <w:rFonts w:ascii="Times New Roman" w:eastAsia="Times New Roman" w:hAnsi="Times New Roman" w:cs="Times New Roman"/>
          <w:bCs/>
          <w:color w:val="000000"/>
          <w:sz w:val="20"/>
          <w:szCs w:val="20"/>
        </w:rPr>
        <w:t xml:space="preserve">can be leveraged to create </w:t>
      </w:r>
      <w:r>
        <w:rPr>
          <w:rFonts w:ascii="Times New Roman" w:eastAsia="Times New Roman" w:hAnsi="Times New Roman" w:cs="Times New Roman"/>
          <w:bCs/>
          <w:color w:val="000000"/>
          <w:sz w:val="20"/>
          <w:szCs w:val="20"/>
        </w:rPr>
        <w:t xml:space="preserve">a framework </w:t>
      </w:r>
      <w:r w:rsidR="003D3EBC">
        <w:rPr>
          <w:rFonts w:ascii="Times New Roman" w:eastAsia="Times New Roman" w:hAnsi="Times New Roman" w:cs="Times New Roman"/>
          <w:bCs/>
          <w:color w:val="000000"/>
          <w:sz w:val="20"/>
          <w:szCs w:val="20"/>
        </w:rPr>
        <w:t>that makes the evaluation of such data from an open system feasible.</w:t>
      </w:r>
    </w:p>
    <w:p w:rsidR="004B52B7" w:rsidRDefault="004B52B7" w:rsidP="003E2A78">
      <w:pPr>
        <w:rPr>
          <w:rFonts w:ascii="Times New Roman" w:eastAsia="Times New Roman" w:hAnsi="Times New Roman" w:cs="Times New Roman"/>
          <w:b/>
          <w:bCs/>
          <w:color w:val="000000"/>
          <w:sz w:val="20"/>
          <w:szCs w:val="20"/>
        </w:rPr>
      </w:pPr>
    </w:p>
    <w:p w:rsidR="004133A6" w:rsidRPr="00C3196D" w:rsidRDefault="003B1765" w:rsidP="003B1765">
      <w:pPr>
        <w:jc w:val="center"/>
        <w:rPr>
          <w:rFonts w:ascii="Times New Roman" w:hAnsi="Times New Roman" w:cs="Times New Roman"/>
          <w:sz w:val="20"/>
          <w:szCs w:val="20"/>
        </w:rPr>
      </w:pPr>
      <w:r w:rsidRPr="00C3196D">
        <w:rPr>
          <w:rFonts w:ascii="Times New Roman" w:eastAsia="Times New Roman" w:hAnsi="Times New Roman" w:cs="Times New Roman"/>
          <w:b/>
          <w:bCs/>
          <w:color w:val="000000"/>
          <w:sz w:val="20"/>
          <w:szCs w:val="20"/>
        </w:rPr>
        <w:t>References</w:t>
      </w:r>
    </w:p>
    <w:p w:rsidR="00575E2A" w:rsidRPr="00575E2A" w:rsidRDefault="008D06DB" w:rsidP="00575E2A">
      <w:pPr>
        <w:spacing w:after="0" w:line="240" w:lineRule="auto"/>
        <w:rPr>
          <w:rFonts w:ascii="Times New Roman" w:hAnsi="Times New Roman" w:cs="Times New Roman"/>
          <w:noProof/>
          <w:sz w:val="20"/>
          <w:szCs w:val="20"/>
        </w:rPr>
      </w:pPr>
      <w:r w:rsidRPr="00291ED0">
        <w:rPr>
          <w:rFonts w:ascii="Times New Roman" w:hAnsi="Times New Roman" w:cs="Times New Roman"/>
          <w:sz w:val="20"/>
          <w:szCs w:val="20"/>
        </w:rPr>
        <w:fldChar w:fldCharType="begin"/>
      </w:r>
      <w:r w:rsidRPr="00291ED0">
        <w:rPr>
          <w:rFonts w:ascii="Times New Roman" w:hAnsi="Times New Roman" w:cs="Times New Roman"/>
          <w:sz w:val="20"/>
          <w:szCs w:val="20"/>
        </w:rPr>
        <w:instrText xml:space="preserve"> ADDIN EN.REFLIST </w:instrText>
      </w:r>
      <w:r w:rsidRPr="00291ED0">
        <w:rPr>
          <w:rFonts w:ascii="Times New Roman" w:hAnsi="Times New Roman" w:cs="Times New Roman"/>
          <w:sz w:val="20"/>
          <w:szCs w:val="20"/>
        </w:rPr>
        <w:fldChar w:fldCharType="separate"/>
      </w:r>
      <w:bookmarkStart w:id="1" w:name="_ENREF_1"/>
      <w:r w:rsidR="00575E2A" w:rsidRPr="00575E2A">
        <w:rPr>
          <w:rFonts w:ascii="Times New Roman" w:hAnsi="Times New Roman" w:cs="Times New Roman"/>
          <w:noProof/>
          <w:sz w:val="20"/>
          <w:szCs w:val="20"/>
        </w:rPr>
        <w:t>1.</w:t>
      </w:r>
      <w:r w:rsidR="00575E2A" w:rsidRPr="00575E2A">
        <w:rPr>
          <w:rFonts w:ascii="Times New Roman" w:hAnsi="Times New Roman" w:cs="Times New Roman"/>
          <w:noProof/>
          <w:sz w:val="20"/>
          <w:szCs w:val="20"/>
        </w:rPr>
        <w:tab/>
        <w:t xml:space="preserve">OMOP Common Data Model [Webpage]. 2015 [cited 20 Jul 2015]. Available from: </w:t>
      </w:r>
      <w:hyperlink r:id="rId6" w:history="1">
        <w:r w:rsidR="00575E2A" w:rsidRPr="00575E2A">
          <w:rPr>
            <w:rStyle w:val="Hyperlink"/>
            <w:rFonts w:ascii="Times New Roman" w:hAnsi="Times New Roman" w:cs="Times New Roman"/>
            <w:noProof/>
            <w:sz w:val="20"/>
            <w:szCs w:val="20"/>
          </w:rPr>
          <w:t>http://www.ohdsi.org/data-standardization/the-common-data-model/</w:t>
        </w:r>
      </w:hyperlink>
      <w:r w:rsidR="00575E2A" w:rsidRPr="00575E2A">
        <w:rPr>
          <w:rFonts w:ascii="Times New Roman" w:hAnsi="Times New Roman" w:cs="Times New Roman"/>
          <w:noProof/>
          <w:sz w:val="20"/>
          <w:szCs w:val="20"/>
        </w:rPr>
        <w:t>.</w:t>
      </w:r>
      <w:bookmarkEnd w:id="1"/>
    </w:p>
    <w:p w:rsidR="00575E2A" w:rsidRPr="00575E2A" w:rsidRDefault="00575E2A" w:rsidP="00575E2A">
      <w:pPr>
        <w:spacing w:after="0" w:line="240" w:lineRule="auto"/>
        <w:rPr>
          <w:rFonts w:ascii="Times New Roman" w:hAnsi="Times New Roman" w:cs="Times New Roman"/>
          <w:noProof/>
          <w:sz w:val="20"/>
          <w:szCs w:val="20"/>
        </w:rPr>
      </w:pPr>
      <w:bookmarkStart w:id="2" w:name="_ENREF_2"/>
      <w:r w:rsidRPr="00575E2A">
        <w:rPr>
          <w:rFonts w:ascii="Times New Roman" w:hAnsi="Times New Roman" w:cs="Times New Roman"/>
          <w:noProof/>
          <w:sz w:val="20"/>
          <w:szCs w:val="20"/>
        </w:rPr>
        <w:t>2.</w:t>
      </w:r>
      <w:r w:rsidRPr="00575E2A">
        <w:rPr>
          <w:rFonts w:ascii="Times New Roman" w:hAnsi="Times New Roman" w:cs="Times New Roman"/>
          <w:noProof/>
          <w:sz w:val="20"/>
          <w:szCs w:val="20"/>
        </w:rPr>
        <w:tab/>
        <w:t>Sculley J. What is a clearinghouse for medical claims, and what do they do? 2014.</w:t>
      </w:r>
      <w:bookmarkEnd w:id="2"/>
    </w:p>
    <w:p w:rsidR="00575E2A" w:rsidRPr="00575E2A" w:rsidRDefault="00575E2A" w:rsidP="00575E2A">
      <w:pPr>
        <w:spacing w:line="240" w:lineRule="auto"/>
        <w:rPr>
          <w:rFonts w:ascii="Times New Roman" w:hAnsi="Times New Roman" w:cs="Times New Roman"/>
          <w:noProof/>
          <w:sz w:val="20"/>
          <w:szCs w:val="20"/>
        </w:rPr>
      </w:pPr>
      <w:bookmarkStart w:id="3" w:name="_ENREF_3"/>
      <w:r w:rsidRPr="00575E2A">
        <w:rPr>
          <w:rFonts w:ascii="Times New Roman" w:hAnsi="Times New Roman" w:cs="Times New Roman"/>
          <w:noProof/>
          <w:sz w:val="20"/>
          <w:szCs w:val="20"/>
        </w:rPr>
        <w:t>3.</w:t>
      </w:r>
      <w:r w:rsidRPr="00575E2A">
        <w:rPr>
          <w:rFonts w:ascii="Times New Roman" w:hAnsi="Times New Roman" w:cs="Times New Roman"/>
          <w:noProof/>
          <w:sz w:val="20"/>
          <w:szCs w:val="20"/>
        </w:rPr>
        <w:tab/>
        <w:t>Voss E, Makadia R, Matcho A, Ma Q, Knoll C, Schuemie M, et al. Feasibility and utility of applications of the common data model to multiple, disparate observational health databases. Journal of the American Medical Informatics Association. 2015 2015 May;22(3):553-64. Epub 2015 Feb 10.</w:t>
      </w:r>
      <w:bookmarkEnd w:id="3"/>
    </w:p>
    <w:p w:rsidR="00575E2A" w:rsidRDefault="00575E2A" w:rsidP="00575E2A">
      <w:pPr>
        <w:spacing w:line="240" w:lineRule="auto"/>
        <w:rPr>
          <w:rFonts w:ascii="Calibri" w:hAnsi="Calibri" w:cs="Calibri"/>
          <w:noProof/>
          <w:szCs w:val="20"/>
        </w:rPr>
      </w:pPr>
    </w:p>
    <w:p w:rsidR="00292E52" w:rsidRDefault="008D06DB">
      <w:r w:rsidRPr="00291ED0">
        <w:rPr>
          <w:rFonts w:ascii="Times New Roman" w:hAnsi="Times New Roman" w:cs="Times New Roman"/>
          <w:sz w:val="20"/>
          <w:szCs w:val="20"/>
        </w:rPr>
        <w:fldChar w:fldCharType="end"/>
      </w:r>
    </w:p>
    <w:sectPr w:rsidR="00292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710CD"/>
    <w:multiLevelType w:val="hybridMultilevel"/>
    <w:tmpl w:val="9D6E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27148"/>
    <w:multiLevelType w:val="hybridMultilevel"/>
    <w:tmpl w:val="4E6E2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65FC1"/>
    <w:multiLevelType w:val="hybridMultilevel"/>
    <w:tmpl w:val="4FBC4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2ps0z5ds0sf5cefetl5pe0irz2esszf2r0a&quot;&gt;Blacketer_EndNote&lt;record-ids&gt;&lt;item&gt;3&lt;/item&gt;&lt;item&gt;6&lt;/item&gt;&lt;item&gt;18&lt;/item&gt;&lt;/record-ids&gt;&lt;/item&gt;&lt;/Libraries&gt;"/>
  </w:docVars>
  <w:rsids>
    <w:rsidRoot w:val="00292E52"/>
    <w:rsid w:val="00013A0B"/>
    <w:rsid w:val="00073855"/>
    <w:rsid w:val="000D7FAE"/>
    <w:rsid w:val="00111666"/>
    <w:rsid w:val="00131C2C"/>
    <w:rsid w:val="0016301D"/>
    <w:rsid w:val="00186F80"/>
    <w:rsid w:val="001D3030"/>
    <w:rsid w:val="00227AC6"/>
    <w:rsid w:val="00291ED0"/>
    <w:rsid w:val="00292E52"/>
    <w:rsid w:val="00295137"/>
    <w:rsid w:val="002E0D76"/>
    <w:rsid w:val="002E3381"/>
    <w:rsid w:val="003650FD"/>
    <w:rsid w:val="0038162C"/>
    <w:rsid w:val="00395010"/>
    <w:rsid w:val="003B1765"/>
    <w:rsid w:val="003B3999"/>
    <w:rsid w:val="003D3EBC"/>
    <w:rsid w:val="003E27FB"/>
    <w:rsid w:val="003E2A78"/>
    <w:rsid w:val="003E4B5E"/>
    <w:rsid w:val="0040580E"/>
    <w:rsid w:val="004133A6"/>
    <w:rsid w:val="00487E61"/>
    <w:rsid w:val="004B52B7"/>
    <w:rsid w:val="004C09F2"/>
    <w:rsid w:val="004D114F"/>
    <w:rsid w:val="00504719"/>
    <w:rsid w:val="005105BF"/>
    <w:rsid w:val="0052423B"/>
    <w:rsid w:val="00534C4A"/>
    <w:rsid w:val="00575E2A"/>
    <w:rsid w:val="005F31A4"/>
    <w:rsid w:val="00616736"/>
    <w:rsid w:val="006A489B"/>
    <w:rsid w:val="006E4232"/>
    <w:rsid w:val="006F2627"/>
    <w:rsid w:val="007002C1"/>
    <w:rsid w:val="00730453"/>
    <w:rsid w:val="007326A6"/>
    <w:rsid w:val="00732DF9"/>
    <w:rsid w:val="00743B85"/>
    <w:rsid w:val="00761E86"/>
    <w:rsid w:val="00777DB3"/>
    <w:rsid w:val="00803DA3"/>
    <w:rsid w:val="00805EA4"/>
    <w:rsid w:val="008C1C58"/>
    <w:rsid w:val="008D06DB"/>
    <w:rsid w:val="008D4216"/>
    <w:rsid w:val="00935CDE"/>
    <w:rsid w:val="00944664"/>
    <w:rsid w:val="009608D4"/>
    <w:rsid w:val="00967B90"/>
    <w:rsid w:val="00975B4F"/>
    <w:rsid w:val="009A78E6"/>
    <w:rsid w:val="009D3AC3"/>
    <w:rsid w:val="00A165B1"/>
    <w:rsid w:val="00A20F17"/>
    <w:rsid w:val="00A51C3B"/>
    <w:rsid w:val="00A55A09"/>
    <w:rsid w:val="00AC2DDC"/>
    <w:rsid w:val="00B86D40"/>
    <w:rsid w:val="00BD5876"/>
    <w:rsid w:val="00BE30C2"/>
    <w:rsid w:val="00C3196D"/>
    <w:rsid w:val="00CA25F1"/>
    <w:rsid w:val="00CA3830"/>
    <w:rsid w:val="00CB6A26"/>
    <w:rsid w:val="00CD5D65"/>
    <w:rsid w:val="00D553D1"/>
    <w:rsid w:val="00D97A0D"/>
    <w:rsid w:val="00DC2E8B"/>
    <w:rsid w:val="00DC7314"/>
    <w:rsid w:val="00EB15B1"/>
    <w:rsid w:val="00FE3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ACC87E-B22F-4FD7-AA3C-F3CB6CE2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2E5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D06DB"/>
    <w:rPr>
      <w:color w:val="0563C1" w:themeColor="hyperlink"/>
      <w:u w:val="single"/>
    </w:rPr>
  </w:style>
  <w:style w:type="character" w:customStyle="1" w:styleId="Mention1">
    <w:name w:val="Mention1"/>
    <w:basedOn w:val="DefaultParagraphFont"/>
    <w:uiPriority w:val="99"/>
    <w:semiHidden/>
    <w:unhideWhenUsed/>
    <w:rsid w:val="008D06DB"/>
    <w:rPr>
      <w:color w:val="2B579A"/>
      <w:shd w:val="clear" w:color="auto" w:fill="E6E6E6"/>
    </w:rPr>
  </w:style>
  <w:style w:type="character" w:styleId="CommentReference">
    <w:name w:val="annotation reference"/>
    <w:basedOn w:val="DefaultParagraphFont"/>
    <w:uiPriority w:val="99"/>
    <w:semiHidden/>
    <w:unhideWhenUsed/>
    <w:rsid w:val="008D06DB"/>
    <w:rPr>
      <w:sz w:val="16"/>
      <w:szCs w:val="16"/>
    </w:rPr>
  </w:style>
  <w:style w:type="paragraph" w:styleId="CommentText">
    <w:name w:val="annotation text"/>
    <w:basedOn w:val="Normal"/>
    <w:link w:val="CommentTextChar"/>
    <w:uiPriority w:val="99"/>
    <w:semiHidden/>
    <w:unhideWhenUsed/>
    <w:rsid w:val="008D06DB"/>
    <w:pPr>
      <w:spacing w:line="240" w:lineRule="auto"/>
    </w:pPr>
    <w:rPr>
      <w:sz w:val="20"/>
      <w:szCs w:val="20"/>
    </w:rPr>
  </w:style>
  <w:style w:type="character" w:customStyle="1" w:styleId="CommentTextChar">
    <w:name w:val="Comment Text Char"/>
    <w:basedOn w:val="DefaultParagraphFont"/>
    <w:link w:val="CommentText"/>
    <w:uiPriority w:val="99"/>
    <w:semiHidden/>
    <w:rsid w:val="008D06DB"/>
    <w:rPr>
      <w:sz w:val="20"/>
      <w:szCs w:val="20"/>
    </w:rPr>
  </w:style>
  <w:style w:type="paragraph" w:styleId="CommentSubject">
    <w:name w:val="annotation subject"/>
    <w:basedOn w:val="CommentText"/>
    <w:next w:val="CommentText"/>
    <w:link w:val="CommentSubjectChar"/>
    <w:uiPriority w:val="99"/>
    <w:semiHidden/>
    <w:unhideWhenUsed/>
    <w:rsid w:val="008D06DB"/>
    <w:rPr>
      <w:b/>
      <w:bCs/>
    </w:rPr>
  </w:style>
  <w:style w:type="character" w:customStyle="1" w:styleId="CommentSubjectChar">
    <w:name w:val="Comment Subject Char"/>
    <w:basedOn w:val="CommentTextChar"/>
    <w:link w:val="CommentSubject"/>
    <w:uiPriority w:val="99"/>
    <w:semiHidden/>
    <w:rsid w:val="008D06DB"/>
    <w:rPr>
      <w:b/>
      <w:bCs/>
      <w:sz w:val="20"/>
      <w:szCs w:val="20"/>
    </w:rPr>
  </w:style>
  <w:style w:type="paragraph" w:styleId="BalloonText">
    <w:name w:val="Balloon Text"/>
    <w:basedOn w:val="Normal"/>
    <w:link w:val="BalloonTextChar"/>
    <w:uiPriority w:val="99"/>
    <w:semiHidden/>
    <w:unhideWhenUsed/>
    <w:rsid w:val="008D06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6DB"/>
    <w:rPr>
      <w:rFonts w:ascii="Segoe UI" w:hAnsi="Segoe UI" w:cs="Segoe UI"/>
      <w:sz w:val="18"/>
      <w:szCs w:val="18"/>
    </w:rPr>
  </w:style>
  <w:style w:type="paragraph" w:styleId="ListParagraph">
    <w:name w:val="List Paragraph"/>
    <w:basedOn w:val="Normal"/>
    <w:uiPriority w:val="34"/>
    <w:qFormat/>
    <w:rsid w:val="008C1C58"/>
    <w:pPr>
      <w:ind w:left="720"/>
      <w:contextualSpacing/>
    </w:pPr>
  </w:style>
  <w:style w:type="table" w:styleId="TableGrid">
    <w:name w:val="Table Grid"/>
    <w:basedOn w:val="TableNormal"/>
    <w:uiPriority w:val="39"/>
    <w:rsid w:val="008C1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408226">
      <w:bodyDiv w:val="1"/>
      <w:marLeft w:val="0"/>
      <w:marRight w:val="0"/>
      <w:marTop w:val="0"/>
      <w:marBottom w:val="0"/>
      <w:divBdr>
        <w:top w:val="none" w:sz="0" w:space="0" w:color="auto"/>
        <w:left w:val="none" w:sz="0" w:space="0" w:color="auto"/>
        <w:bottom w:val="none" w:sz="0" w:space="0" w:color="auto"/>
        <w:right w:val="none" w:sz="0" w:space="0" w:color="auto"/>
      </w:divBdr>
      <w:divsChild>
        <w:div w:id="96676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hdsi.org/data-standardization/the-common-data-mode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1A394-05A8-42E2-91BE-CFD8817E1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1470</Words>
  <Characters>8384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Blacketer, Margaret [JRDUS]</dc:creator>
  <cp:lastModifiedBy>Blacketer, Margaret [JRDUS]</cp:lastModifiedBy>
  <cp:revision>3</cp:revision>
  <dcterms:created xsi:type="dcterms:W3CDTF">2017-08-25T19:32:00Z</dcterms:created>
  <dcterms:modified xsi:type="dcterms:W3CDTF">2017-08-25T19:33:00Z</dcterms:modified>
</cp:coreProperties>
</file>