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8D7D81" w14:textId="77777777" w:rsidR="00720099" w:rsidRDefault="00DC65B8" w:rsidP="00B608D6">
      <w:pPr>
        <w:jc w:val="center"/>
        <w:rPr>
          <w:rFonts w:ascii="Times New Roman" w:eastAsia="Times New Roman" w:hAnsi="Times New Roman" w:cs="Times New Roman"/>
          <w:b/>
          <w:bCs/>
          <w:color w:val="000000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Cs w:val="22"/>
        </w:rPr>
        <w:t xml:space="preserve">Combining the ATC Drug </w:t>
      </w:r>
      <w:r w:rsidR="00B75DCD">
        <w:rPr>
          <w:rFonts w:ascii="Times New Roman" w:eastAsia="Times New Roman" w:hAnsi="Times New Roman" w:cs="Times New Roman"/>
          <w:b/>
          <w:bCs/>
          <w:color w:val="000000"/>
          <w:szCs w:val="22"/>
        </w:rPr>
        <w:t xml:space="preserve">Classification System </w:t>
      </w:r>
      <w:r w:rsidR="00B608D6">
        <w:rPr>
          <w:rFonts w:ascii="Times New Roman" w:eastAsia="Times New Roman" w:hAnsi="Times New Roman" w:cs="Times New Roman"/>
          <w:b/>
          <w:bCs/>
          <w:color w:val="000000"/>
          <w:szCs w:val="22"/>
        </w:rPr>
        <w:t>with</w:t>
      </w:r>
      <w:r w:rsidR="00B608D6" w:rsidRPr="00807F5D">
        <w:rPr>
          <w:rFonts w:ascii="Times New Roman" w:eastAsia="Times New Roman" w:hAnsi="Times New Roman" w:cs="Times New Roman"/>
          <w:b/>
          <w:bCs/>
          <w:color w:val="000000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Cs w:val="22"/>
        </w:rPr>
        <w:t xml:space="preserve">the </w:t>
      </w:r>
      <w:r w:rsidR="00807F5D" w:rsidRPr="00807F5D">
        <w:rPr>
          <w:rFonts w:ascii="Times New Roman" w:eastAsia="Times New Roman" w:hAnsi="Times New Roman" w:cs="Times New Roman"/>
          <w:b/>
          <w:bCs/>
          <w:color w:val="000000"/>
          <w:szCs w:val="22"/>
        </w:rPr>
        <w:t xml:space="preserve">RxNorm </w:t>
      </w:r>
      <w:r>
        <w:rPr>
          <w:rFonts w:ascii="Times New Roman" w:eastAsia="Times New Roman" w:hAnsi="Times New Roman" w:cs="Times New Roman"/>
          <w:b/>
          <w:bCs/>
          <w:color w:val="000000"/>
          <w:szCs w:val="22"/>
        </w:rPr>
        <w:t xml:space="preserve">Drug </w:t>
      </w:r>
      <w:r w:rsidR="00B608D6">
        <w:rPr>
          <w:rFonts w:ascii="Times New Roman" w:eastAsia="Times New Roman" w:hAnsi="Times New Roman" w:cs="Times New Roman"/>
          <w:b/>
          <w:bCs/>
          <w:color w:val="000000"/>
          <w:szCs w:val="22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Cs w:val="22"/>
        </w:rPr>
        <w:t xml:space="preserve">omenclature into a </w:t>
      </w:r>
      <w:r w:rsidR="00B608D6">
        <w:rPr>
          <w:rFonts w:ascii="Times New Roman" w:eastAsia="Times New Roman" w:hAnsi="Times New Roman" w:cs="Times New Roman"/>
          <w:b/>
          <w:bCs/>
          <w:color w:val="000000"/>
          <w:szCs w:val="22"/>
        </w:rPr>
        <w:t xml:space="preserve">comprehensive Drug </w:t>
      </w:r>
      <w:r w:rsidR="00AC53A5">
        <w:rPr>
          <w:rFonts w:ascii="Times New Roman" w:eastAsia="Times New Roman" w:hAnsi="Times New Roman" w:cs="Times New Roman"/>
          <w:b/>
          <w:bCs/>
          <w:color w:val="000000"/>
          <w:szCs w:val="22"/>
        </w:rPr>
        <w:t>Ontology</w:t>
      </w:r>
      <w:r w:rsidR="00604DAB">
        <w:rPr>
          <w:rFonts w:ascii="Times New Roman" w:eastAsia="Times New Roman" w:hAnsi="Times New Roman" w:cs="Times New Roman"/>
          <w:b/>
          <w:bCs/>
          <w:color w:val="000000"/>
          <w:szCs w:val="22"/>
        </w:rPr>
        <w:t>: Challenges</w:t>
      </w:r>
      <w:r w:rsidR="00622DD6">
        <w:rPr>
          <w:rFonts w:ascii="Times New Roman" w:eastAsia="Times New Roman" w:hAnsi="Times New Roman" w:cs="Times New Roman"/>
          <w:b/>
          <w:bCs/>
          <w:color w:val="000000"/>
          <w:szCs w:val="22"/>
        </w:rPr>
        <w:t xml:space="preserve"> and </w:t>
      </w:r>
      <w:r w:rsidR="00604DAB">
        <w:rPr>
          <w:rFonts w:ascii="Times New Roman" w:eastAsia="Times New Roman" w:hAnsi="Times New Roman" w:cs="Times New Roman"/>
          <w:b/>
          <w:bCs/>
          <w:color w:val="000000"/>
          <w:szCs w:val="22"/>
        </w:rPr>
        <w:t>Achievements</w:t>
      </w:r>
    </w:p>
    <w:p w14:paraId="2B1487AB" w14:textId="77777777" w:rsidR="00720099" w:rsidRPr="00807F5D" w:rsidRDefault="00720099" w:rsidP="00720099">
      <w:pPr>
        <w:jc w:val="center"/>
        <w:rPr>
          <w:rFonts w:ascii="Times New Roman" w:eastAsia="Times New Roman" w:hAnsi="Times New Roman" w:cs="Times New Roman"/>
          <w:b/>
          <w:bCs/>
          <w:color w:val="000000"/>
          <w:szCs w:val="22"/>
        </w:rPr>
      </w:pPr>
    </w:p>
    <w:p w14:paraId="4DA581BD" w14:textId="0B0BB802" w:rsidR="00720099" w:rsidRPr="00184991" w:rsidRDefault="00807F5D" w:rsidP="00B608D6">
      <w:pPr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720099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Anna Ostropolets</w:t>
      </w:r>
      <w:r w:rsidR="00720099" w:rsidRPr="00720099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, MD</w:t>
      </w:r>
      <w:r w:rsidR="00720099" w:rsidRPr="00720099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1</w:t>
      </w:r>
      <w:r w:rsidRPr="00720099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, Hamed Abedtash</w:t>
      </w:r>
      <w:r w:rsidR="00720099" w:rsidRPr="00720099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r w:rsidR="00720099" w:rsidRPr="0072009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PharmD, PhD</w:t>
      </w:r>
      <w:r w:rsidR="00720099" w:rsidRPr="00720099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2</w:t>
      </w:r>
      <w:r w:rsidRPr="00720099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r w:rsidR="00720099" w:rsidRPr="00720099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Peter </w:t>
      </w:r>
      <w:r w:rsidR="00720099" w:rsidRPr="0072009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Rijnbeek</w:t>
      </w:r>
      <w:r w:rsidR="0072009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,</w:t>
      </w:r>
      <w:r w:rsidR="00720099" w:rsidRPr="0072009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PhD</w:t>
      </w:r>
      <w:r w:rsidR="00720099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3</w:t>
      </w:r>
      <w:r w:rsidR="00720099" w:rsidRPr="0072009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,</w:t>
      </w:r>
      <w:r w:rsidR="00184991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r w:rsidR="004C591A" w:rsidRPr="004C591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Marcel de Wilde</w:t>
      </w:r>
      <w:r w:rsidR="004C591A" w:rsidRPr="004C591A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3</w:t>
      </w:r>
      <w:r w:rsidR="004C591A" w:rsidRPr="004C591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, Alexander Davydov</w:t>
      </w:r>
      <w:r w:rsidR="004C591A" w:rsidRPr="004C591A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6</w:t>
      </w:r>
      <w:r w:rsidR="004C591A" w:rsidRPr="004C591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,</w:t>
      </w:r>
      <w:r w:rsidR="004C591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 </w:t>
      </w:r>
      <w:proofErr w:type="spellStart"/>
      <w:r w:rsidR="00184991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Olha</w:t>
      </w:r>
      <w:proofErr w:type="spellEnd"/>
      <w:r w:rsidR="00184991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Marushchak</w:t>
      </w:r>
      <w:r w:rsidR="00184991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4</w:t>
      </w:r>
      <w:r w:rsidR="00184991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r w:rsidRPr="00720099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Christian Reich</w:t>
      </w:r>
      <w:r w:rsidR="00720099" w:rsidRPr="00720099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r w:rsidR="00B608D6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M</w:t>
      </w:r>
      <w:r w:rsidR="00B608D6" w:rsidRPr="00720099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D</w:t>
      </w:r>
      <w:r w:rsidR="00B608D6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5</w:t>
      </w:r>
    </w:p>
    <w:p w14:paraId="616F0899" w14:textId="1C86DCD8" w:rsidR="00807F5D" w:rsidRDefault="00720099" w:rsidP="00A13CFC">
      <w:pPr>
        <w:jc w:val="center"/>
        <w:rPr>
          <w:rFonts w:ascii="Times New Roman" w:eastAsia="Times New Roman" w:hAnsi="Times New Roman" w:cs="Times New Roman"/>
          <w:bCs/>
          <w:i/>
          <w:iCs/>
          <w:color w:val="000000"/>
          <w:sz w:val="22"/>
          <w:szCs w:val="22"/>
        </w:rPr>
      </w:pPr>
      <w:r w:rsidRPr="00720099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  <w:vertAlign w:val="superscript"/>
        </w:rPr>
        <w:t>1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  <w:vertAlign w:val="superscript"/>
        </w:rPr>
        <w:t xml:space="preserve"> </w:t>
      </w:r>
      <w:r w:rsidR="00807F5D" w:rsidRPr="00720099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Columbia University, New York City, NY, USA</w:t>
      </w:r>
      <w:r w:rsidRPr="00720099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,</w:t>
      </w:r>
      <w:r w:rsidRPr="00720099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  <w:vertAlign w:val="superscript"/>
        </w:rPr>
        <w:t>2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  <w:vertAlign w:val="superscript"/>
        </w:rPr>
        <w:t xml:space="preserve"> </w:t>
      </w:r>
      <w:r w:rsidR="00807F5D" w:rsidRPr="00720099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Eli Lilly &amp; Company, Indianapolis, IN, USA</w:t>
      </w:r>
      <w:r w:rsidRPr="00720099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,</w:t>
      </w:r>
      <w:r w:rsidRPr="00720099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  <w:vertAlign w:val="superscript"/>
        </w:rPr>
        <w:t xml:space="preserve">3 </w:t>
      </w:r>
      <w:r w:rsidRPr="00720099">
        <w:rPr>
          <w:rFonts w:ascii="Times New Roman" w:hAnsi="Times New Roman" w:cs="Times New Roman"/>
          <w:i/>
          <w:iCs/>
          <w:sz w:val="22"/>
          <w:szCs w:val="22"/>
        </w:rPr>
        <w:t>Erasmus University Medical Center, Rotterdam, The Netherlands</w:t>
      </w:r>
      <w:r w:rsidR="00184991">
        <w:rPr>
          <w:rFonts w:ascii="Times New Roman" w:hAnsi="Times New Roman" w:cs="Times New Roman"/>
          <w:i/>
          <w:iCs/>
          <w:sz w:val="22"/>
          <w:szCs w:val="22"/>
        </w:rPr>
        <w:t>,</w:t>
      </w:r>
      <w:r w:rsidR="00184991">
        <w:rPr>
          <w:rFonts w:ascii="Times New Roman" w:hAnsi="Times New Roman" w:cs="Times New Roman"/>
          <w:i/>
          <w:iCs/>
          <w:sz w:val="22"/>
          <w:szCs w:val="22"/>
          <w:vertAlign w:val="superscript"/>
        </w:rPr>
        <w:t xml:space="preserve">4 </w:t>
      </w:r>
      <w:proofErr w:type="spellStart"/>
      <w:r w:rsidR="00184991">
        <w:rPr>
          <w:rFonts w:ascii="Times New Roman" w:hAnsi="Times New Roman" w:cs="Times New Roman"/>
          <w:i/>
          <w:iCs/>
          <w:sz w:val="22"/>
          <w:szCs w:val="22"/>
        </w:rPr>
        <w:t>Danylo</w:t>
      </w:r>
      <w:proofErr w:type="spellEnd"/>
      <w:r w:rsidR="00184991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="00184991">
        <w:rPr>
          <w:rFonts w:ascii="Times New Roman" w:hAnsi="Times New Roman" w:cs="Times New Roman"/>
          <w:i/>
          <w:iCs/>
          <w:sz w:val="22"/>
          <w:szCs w:val="22"/>
        </w:rPr>
        <w:t>Halytsky</w:t>
      </w:r>
      <w:proofErr w:type="spellEnd"/>
      <w:r w:rsidR="00184991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="00184991">
        <w:rPr>
          <w:rFonts w:ascii="Times New Roman" w:hAnsi="Times New Roman" w:cs="Times New Roman"/>
          <w:i/>
          <w:iCs/>
          <w:sz w:val="22"/>
          <w:szCs w:val="22"/>
        </w:rPr>
        <w:t>Lviv</w:t>
      </w:r>
      <w:proofErr w:type="spellEnd"/>
      <w:r w:rsidR="00184991">
        <w:rPr>
          <w:rFonts w:ascii="Times New Roman" w:hAnsi="Times New Roman" w:cs="Times New Roman"/>
          <w:i/>
          <w:iCs/>
          <w:sz w:val="22"/>
          <w:szCs w:val="22"/>
        </w:rPr>
        <w:t xml:space="preserve"> National Medical University, </w:t>
      </w:r>
      <w:proofErr w:type="spellStart"/>
      <w:r w:rsidR="00184991">
        <w:rPr>
          <w:rFonts w:ascii="Times New Roman" w:hAnsi="Times New Roman" w:cs="Times New Roman"/>
          <w:i/>
          <w:iCs/>
          <w:sz w:val="22"/>
          <w:szCs w:val="22"/>
        </w:rPr>
        <w:t>Lviv</w:t>
      </w:r>
      <w:proofErr w:type="spellEnd"/>
      <w:r w:rsidR="00184991">
        <w:rPr>
          <w:rFonts w:ascii="Times New Roman" w:hAnsi="Times New Roman" w:cs="Times New Roman"/>
          <w:i/>
          <w:iCs/>
          <w:sz w:val="22"/>
          <w:szCs w:val="22"/>
        </w:rPr>
        <w:t xml:space="preserve">, Ukraine,  </w:t>
      </w:r>
      <w:r w:rsidR="00184991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  <w:vertAlign w:val="superscript"/>
        </w:rPr>
        <w:t>5</w:t>
      </w:r>
      <w:r w:rsidR="00807F5D" w:rsidRPr="00720099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IQVIA, Cambridge, MA, USA</w:t>
      </w:r>
      <w:r w:rsidR="004C591A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,</w:t>
      </w:r>
      <w:r w:rsidR="004C591A" w:rsidRPr="004C591A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  <w:vertAlign w:val="superscript"/>
        </w:rPr>
        <w:t xml:space="preserve">6 </w:t>
      </w:r>
      <w:r w:rsidR="004C591A" w:rsidRPr="004C591A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</w:rPr>
        <w:t>Odysseus Data Services, Cambridge, MA, USA</w:t>
      </w:r>
      <w:r w:rsidR="00807F5D" w:rsidRPr="00720099">
        <w:rPr>
          <w:rFonts w:ascii="Times New Roman" w:eastAsia="Times New Roman" w:hAnsi="Times New Roman" w:cs="Times New Roman"/>
          <w:color w:val="000000"/>
          <w:sz w:val="22"/>
          <w:szCs w:val="22"/>
        </w:rPr>
        <w:br/>
      </w:r>
    </w:p>
    <w:p w14:paraId="7BA9C6B8" w14:textId="77777777" w:rsidR="00807F5D" w:rsidRPr="00807F5D" w:rsidRDefault="00807F5D" w:rsidP="00807F5D">
      <w:pP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 w:rsidRPr="00807F5D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Introduction </w:t>
      </w:r>
    </w:p>
    <w:p w14:paraId="3B398BB0" w14:textId="2B1F4BF5" w:rsidR="00807F5D" w:rsidRDefault="00807F5D" w:rsidP="0049754E">
      <w:pPr>
        <w:ind w:firstLine="720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The Anatomical Therapeutic Chemical (ATC) classification of drug</w:t>
      </w:r>
      <w:r w:rsidR="00136BB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developed by the World Health Organization Collaborating Center for Drugs Statistic Methodology is </w:t>
      </w:r>
      <w:proofErr w:type="spellStart"/>
      <w:r w:rsidR="001218E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emplo</w:t>
      </w:r>
      <w:r w:rsidR="001218EF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yed</w:t>
      </w:r>
      <w:proofErr w:type="spellEnd"/>
      <w:r w:rsidR="001218EF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1218EF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routinely</w:t>
      </w:r>
      <w:proofErr w:type="spellEnd"/>
      <w:r w:rsidR="001218EF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r w:rsidR="001218E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in </w:t>
      </w:r>
      <w:r w:rsidR="005D5D4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pharmacoepidemiology</w:t>
      </w:r>
      <w:r w:rsidR="00A723A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, </w:t>
      </w:r>
      <w:r w:rsidR="005D5D4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pharmacovigilance, </w:t>
      </w:r>
      <w:proofErr w:type="spellStart"/>
      <w:r w:rsidR="00A723A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pharmacoeconom</w:t>
      </w:r>
      <w:r w:rsidR="0069623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y</w:t>
      </w:r>
      <w:proofErr w:type="spellEnd"/>
      <w:r w:rsidR="0069623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</w:t>
      </w:r>
      <w:r w:rsidR="009B73E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994D5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and </w:t>
      </w:r>
      <w:r w:rsidR="0069623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observational </w:t>
      </w:r>
      <w:r w:rsidR="001218E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research</w:t>
      </w:r>
      <w:r w:rsidR="0069623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D60E0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as well as drug utilization monitoring</w:t>
      </w:r>
      <w:r w:rsidR="0022101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programs. ATC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classif</w:t>
      </w:r>
      <w:r w:rsidR="0022101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ies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drug</w:t>
      </w:r>
      <w:r w:rsidR="00136BB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products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by </w:t>
      </w:r>
      <w:r w:rsidR="00AE5F0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="00E70F9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target </w:t>
      </w:r>
      <w:r w:rsidR="00AE5F0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organ</w:t>
      </w:r>
      <w:r w:rsidR="00FA548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, </w:t>
      </w:r>
      <w:r w:rsidR="00812C9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pharmacological mechanism,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therapeutic intent</w:t>
      </w:r>
      <w:r w:rsidR="00812C9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F62CA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chemical structure, </w:t>
      </w:r>
      <w:r w:rsidR="00A36EA0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or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active ingredient</w:t>
      </w:r>
      <w:r w:rsidR="00F62CA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E76C3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into five levels</w:t>
      </w:r>
      <w:r w:rsidR="00720099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1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: </w:t>
      </w:r>
      <w:r w:rsidR="00A41E34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T</w:t>
      </w:r>
      <w:r w:rsidR="00A41E34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he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first level represents anatomical, </w:t>
      </w:r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="00827B93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2</w:t>
      </w:r>
      <w:r w:rsidR="00827B93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nd</w:t>
      </w:r>
      <w:r w:rsidR="00A755D2" w:rsidRPr="00AC53A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proofErr w:type="spellStart"/>
      <w:r w:rsidR="00A755D2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therapeutic</w:t>
      </w:r>
      <w:proofErr w:type="spellEnd"/>
      <w:r w:rsidR="00F863D7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(=</w:t>
      </w:r>
      <w:proofErr w:type="spellStart"/>
      <w:r w:rsidR="00F863D7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indication</w:t>
      </w:r>
      <w:proofErr w:type="spellEnd"/>
      <w:r w:rsidR="00F863D7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)</w:t>
      </w:r>
      <w:r w:rsidR="00A755D2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A755D2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or</w:t>
      </w:r>
      <w:proofErr w:type="spellEnd"/>
      <w:r w:rsidR="00A755D2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A755D2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pharmacologic</w:t>
      </w:r>
      <w:proofErr w:type="spellEnd"/>
      <w:r w:rsidR="00A755D2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,</w:t>
      </w:r>
      <w:r w:rsidR="00827B93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A755D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="00827B93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3</w:t>
      </w:r>
      <w:r w:rsidR="00827B93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rd</w:t>
      </w:r>
      <w:r w:rsidR="00A755D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827B93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and 4</w:t>
      </w:r>
      <w:r w:rsidR="00827B93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th</w:t>
      </w:r>
      <w:r w:rsidR="00827B93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F863D7" w:rsidRPr="00F863D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chemical, </w:t>
      </w:r>
      <w:r w:rsidR="0049754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or more detailed </w:t>
      </w:r>
      <w:r w:rsidR="00F863D7" w:rsidRPr="00F863D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pharmacological or therapeutic </w:t>
      </w:r>
      <w:r w:rsidR="00F863D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attributes</w:t>
      </w:r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</w:t>
      </w:r>
      <w:r w:rsidR="00827B93" w:rsidRPr="00807F5D" w:rsidDel="00827B9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and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="00F863D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5th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most granular</w:t>
      </w:r>
      <w:r w:rsidR="00F863D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level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A41E34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softHyphen/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represent</w:t>
      </w:r>
      <w:r w:rsidR="001218E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chemical structure (</w:t>
      </w:r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active ingredients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)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. </w:t>
      </w:r>
      <w:r w:rsidR="004A25B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Since </w:t>
      </w:r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="004A25BA" w:rsidRPr="004A25B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RxNorm terminology</w:t>
      </w:r>
      <w:r w:rsidR="004A25B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4A25BA" w:rsidRPr="004A25B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is the standard</w:t>
      </w:r>
      <w:r w:rsidR="00827B93" w:rsidRPr="00AC53A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proofErr w:type="spellStart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for</w:t>
      </w:r>
      <w:proofErr w:type="spellEnd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marketed</w:t>
      </w:r>
      <w:proofErr w:type="spellEnd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drug</w:t>
      </w:r>
      <w:proofErr w:type="spellEnd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products</w:t>
      </w:r>
      <w:proofErr w:type="spellEnd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published</w:t>
      </w:r>
      <w:proofErr w:type="spellEnd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by</w:t>
      </w:r>
      <w:proofErr w:type="spellEnd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the</w:t>
      </w:r>
      <w:proofErr w:type="spellEnd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Natio</w:t>
      </w:r>
      <w:r w:rsidR="00ED3F4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n</w:t>
      </w:r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al Library </w:t>
      </w:r>
      <w:proofErr w:type="spellStart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of</w:t>
      </w:r>
      <w:proofErr w:type="spellEnd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Medicine</w:t>
      </w:r>
      <w:proofErr w:type="spellEnd"/>
      <w:r w:rsidR="00827B93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(NLM)</w:t>
      </w:r>
      <w:r w:rsidR="00F10D6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, </w:t>
      </w:r>
      <w:r w:rsidR="00C477E0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 crosswalk between ATC and RxNorm</w:t>
      </w:r>
      <w:r w:rsidR="008F2716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concepts is essential </w:t>
      </w:r>
      <w:r w:rsidR="0074607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to the observational studies on </w:t>
      </w:r>
      <w:r w:rsidR="00AC4CA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drug </w:t>
      </w:r>
      <w:r w:rsidR="00441B2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exposure </w:t>
      </w:r>
      <w:r w:rsidR="0074607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data</w:t>
      </w:r>
      <w:r w:rsidR="00441B2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in the US</w:t>
      </w:r>
      <w:r w:rsidR="00C477E0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</w:t>
      </w:r>
      <w:r w:rsidR="00A36DD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AD2BD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Due to the complex</w:t>
      </w:r>
      <w:r w:rsidR="00730D44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ity within </w:t>
      </w:r>
      <w:r w:rsidR="0067354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="00730D44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ATC</w:t>
      </w:r>
      <w:r w:rsidR="00AD2BD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12587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hierarchical structure, m</w:t>
      </w:r>
      <w:r w:rsidR="0012587C" w:rsidRPr="0012587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erely matching the lowest ATC </w:t>
      </w:r>
      <w:r w:rsidR="00696A9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5th</w:t>
      </w:r>
      <w:r w:rsidR="0012587C" w:rsidRPr="0012587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level concepts to RxNorm ingredients result</w:t>
      </w:r>
      <w:r w:rsidR="0067354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</w:t>
      </w:r>
      <w:r w:rsidR="0012587C" w:rsidRPr="0012587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in misclassification of RxNorm drug concepts</w:t>
      </w:r>
      <w:r w:rsidR="0067354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 since</w:t>
      </w:r>
      <w:r w:rsidR="0012587C" w:rsidRPr="0012587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route, dose and indication information is lost in this transition</w:t>
      </w:r>
      <w:r w:rsidR="008F42E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643B5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leading</w:t>
      </w:r>
      <w:r w:rsidR="0012587C" w:rsidRPr="0012587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to selection and measurement biases in data analysis.</w:t>
      </w:r>
      <w:r w:rsidR="00643B5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861E2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We aimed to develop and implement an automated RxNorm-to-ATC mapping </w:t>
      </w:r>
      <w:r w:rsidR="00BB717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process that would provide </w:t>
      </w:r>
      <w:r w:rsidR="0089090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the best match between concepts from the two terminologies while concept attributes are preserved.</w:t>
      </w:r>
    </w:p>
    <w:p w14:paraId="29B0A8BE" w14:textId="77777777" w:rsidR="006319BC" w:rsidRDefault="006319BC">
      <w:pPr>
        <w:ind w:firstLine="720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</w:p>
    <w:p w14:paraId="794657A3" w14:textId="77777777" w:rsidR="00807F5D" w:rsidRPr="00ED3F48" w:rsidRDefault="00807F5D" w:rsidP="00807F5D">
      <w:pP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 w:rsidRPr="00807F5D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Methods</w:t>
      </w:r>
    </w:p>
    <w:p w14:paraId="1A9D0785" w14:textId="77777777" w:rsidR="003B3068" w:rsidRDefault="00807F5D" w:rsidP="00C92A02">
      <w:pPr>
        <w:ind w:firstLine="720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To create a set of comprehensive mappings, we extract</w:t>
      </w:r>
      <w:r w:rsidR="00132F5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ed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all the ATC codes along with their names, route of administration</w:t>
      </w:r>
      <w:r w:rsidR="00132F5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(ROA)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, </w:t>
      </w:r>
      <w:r w:rsidR="00132F5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daily defined dose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(DDD) and additional notes from the official website (https://www.whocc.no/atc_ddd_index/) using a custom Python grabber based on </w:t>
      </w:r>
      <w:r w:rsidR="00C0356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library “</w:t>
      </w:r>
      <w:proofErr w:type="spellStart"/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scra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py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”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 In our study, we used ATC version 2018-02-13</w:t>
      </w:r>
      <w:r w:rsidR="00206005" w:rsidRPr="00AC53A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proofErr w:type="spellStart"/>
      <w:r w:rsidR="0020600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and</w:t>
      </w:r>
      <w:proofErr w:type="spellEnd"/>
      <w:r w:rsidR="0020600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RxNorm version 2018-08-12.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921BD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From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the original five-level ATC hierarchy</w:t>
      </w:r>
      <w:r w:rsidR="00921BD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, we </w:t>
      </w:r>
      <w:r w:rsidR="0020600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sought to </w:t>
      </w:r>
      <w:proofErr w:type="spellStart"/>
      <w:r w:rsidR="0049754E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connect</w:t>
      </w:r>
      <w:proofErr w:type="spellEnd"/>
      <w:r w:rsidR="0049754E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r w:rsidR="00443C0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="005E1B2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lowest level </w:t>
      </w:r>
      <w:r w:rsidR="0001674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codes </w:t>
      </w:r>
      <w:r w:rsidR="005E1B2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in </w:t>
      </w:r>
      <w:r w:rsidR="0020600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="005E1B2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ATC </w:t>
      </w:r>
      <w:r w:rsidR="00C92A0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(ATC 5</w:t>
      </w:r>
      <w:r w:rsidR="00C92A02" w:rsidRPr="00C92A02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th</w:t>
      </w:r>
      <w:r w:rsidR="00C92A0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) </w:t>
      </w:r>
      <w:r w:rsidR="005E1B2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system</w:t>
      </w:r>
      <w:r w:rsidR="0049754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to RxNorm Ingredients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. </w:t>
      </w:r>
      <w:r w:rsidR="00C03562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M</w:t>
      </w:r>
      <w:proofErr w:type="spellStart"/>
      <w:r w:rsidR="00EC7EA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apping</w:t>
      </w:r>
      <w:proofErr w:type="spellEnd"/>
      <w:r w:rsidR="00EC7EA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C0356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these </w:t>
      </w:r>
      <w:r w:rsidR="00EC7EA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ATC codes </w:t>
      </w:r>
      <w:r w:rsidR="0049754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requires</w:t>
      </w:r>
      <w:r w:rsidR="00C0356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to</w:t>
      </w:r>
      <w:r w:rsidR="00EC7EA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not only </w:t>
      </w:r>
      <w:r w:rsidR="00C0356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match </w:t>
      </w:r>
      <w:r w:rsidR="00EC7EA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="00C0356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active ingredient,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but also </w:t>
      </w:r>
      <w:r w:rsidR="00C92A0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="004623D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other attributes such as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indication, therapeutic usage</w:t>
      </w:r>
      <w:r w:rsidR="00F9297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, </w:t>
      </w:r>
      <w:r w:rsidR="002B0CF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ROA</w:t>
      </w:r>
      <w:r w:rsidR="00C92A0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(which is closely related to individual dose forms) or drug strength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 For example,</w:t>
      </w:r>
      <w:r w:rsidR="00544D04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corticosteroid prednisolone can be administered 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as </w:t>
      </w:r>
      <w:r w:rsidR="003B3068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an 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anti-inflammatory </w:t>
      </w:r>
      <w:r w:rsidR="003B3068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agent 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in </w:t>
      </w:r>
      <w:proofErr w:type="spellStart"/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the</w:t>
      </w:r>
      <w:proofErr w:type="spellEnd"/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therapeutic</w:t>
      </w:r>
      <w:proofErr w:type="spellEnd"/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usage</w:t>
      </w:r>
      <w:proofErr w:type="spellEnd"/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of</w:t>
      </w:r>
      <w:proofErr w:type="spellEnd"/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dermatolog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y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(D07AA03)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or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ophthalmolog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y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(S01CB02)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. It can have a Dose Form of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nasal drops and sprays (R01AD02)</w:t>
      </w:r>
      <w:r w:rsidR="00CB404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. It </w:t>
      </w:r>
      <w:r w:rsidR="00B3695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is </w:t>
      </w:r>
      <w:r w:rsidR="00CB404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also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prescribed </w:t>
      </w:r>
      <w:r w:rsidR="00F5147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for oral or parenteral 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route of administration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as an immunosuppressant (H02AB06)</w:t>
      </w:r>
      <w:r w:rsidR="00F5147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 or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C0356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as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 topical </w:t>
      </w:r>
      <w:proofErr w:type="spellStart"/>
      <w:r w:rsidR="00E83383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vasoprotect</w:t>
      </w:r>
      <w:r w:rsidR="00E8338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ive</w:t>
      </w:r>
      <w:proofErr w:type="spellEnd"/>
      <w:r w:rsidR="00E83383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(C05AA04).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</w:p>
    <w:p w14:paraId="1536442C" w14:textId="77777777" w:rsidR="008B01DF" w:rsidRDefault="00C92A02" w:rsidP="008B01DF">
      <w:pPr>
        <w:ind w:firstLine="720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ATC 5</w:t>
      </w:r>
      <w:r w:rsidRPr="00C92A02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codes that are unique for an ingredient we mapped directly to the corresponding RxNorm Ingredient. Ambiguous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ATC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5</w:t>
      </w:r>
      <w:r w:rsidRPr="00C92A02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code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s, which are those where more than one of them encodes the same ingredient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the additional attributes become relevant. For each of these</w:t>
      </w:r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, in </w:t>
      </w:r>
      <w:proofErr w:type="spellStart"/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addition</w:t>
      </w:r>
      <w:proofErr w:type="spellEnd"/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to</w:t>
      </w:r>
      <w:proofErr w:type="spellEnd"/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the</w:t>
      </w:r>
      <w:proofErr w:type="spellEnd"/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ingredient</w:t>
      </w:r>
      <w:proofErr w:type="spellEnd"/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cross-walk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w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e</w:t>
      </w:r>
      <w:proofErr w:type="spellEnd"/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assigned</w:t>
      </w:r>
      <w:proofErr w:type="spellEnd"/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the</w:t>
      </w:r>
      <w:proofErr w:type="spellEnd"/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r w:rsid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appropriate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RxNorm Dose Form</w:t>
      </w:r>
      <w:r w:rsidR="004724A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concepts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that 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matches a given </w:t>
      </w:r>
      <w:r w:rsidR="00F80B1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ROA</w:t>
      </w:r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or therapeutic use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. A portion of </w:t>
      </w:r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ATC 5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th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codes </w:t>
      </w:r>
      <w:r w:rsidR="002B0CF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did not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explicitly state the therapeutic use </w:t>
      </w:r>
      <w:r w:rsidR="003B306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or </w:t>
      </w:r>
      <w:r w:rsidR="00C87B2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ROA; therefore,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we inferred th</w:t>
      </w:r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is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C87B2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information</w:t>
      </w:r>
      <w:r w:rsidR="00C87B22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from the ATC 4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th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 3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rd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, </w:t>
      </w:r>
      <w:r w:rsidR="00C87B2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or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2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nd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75628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levels</w:t>
      </w:r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above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. For example, </w:t>
      </w:r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for the </w:t>
      </w:r>
      <w:r w:rsidR="007A715B" w:rsidRPr="007A715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R01AD02</w:t>
      </w:r>
      <w:r w:rsidR="007A715B" w:rsidRPr="00AC53A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prednisolone </w:t>
      </w:r>
      <w:r w:rsidR="007A715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we gleaned the relevant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Dose Forms </w:t>
      </w:r>
      <w:r w:rsidR="008B01D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from ATC 3</w:t>
      </w:r>
      <w:r w:rsidR="008B01DF" w:rsidRPr="008B01DF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rd</w:t>
      </w:r>
      <w:r w:rsidR="008B01D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8B01DF" w:rsidRPr="008B01D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R01A </w:t>
      </w:r>
      <w:r w:rsidR="008B01D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"D</w:t>
      </w:r>
      <w:r w:rsidR="008B01DF" w:rsidRPr="008B01D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econgestants and other nasal preparations for topical use</w:t>
      </w:r>
      <w:r w:rsidR="008B01D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".</w:t>
      </w:r>
      <w:r w:rsidR="008B01DF" w:rsidRPr="00AC53A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proofErr w:type="spellStart"/>
      <w:r w:rsidR="008B01DF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Finally</w:t>
      </w:r>
      <w:proofErr w:type="spellEnd"/>
      <w:r w:rsidR="008B01DF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, w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e split multicomponent drugs into sets of separate substances and processed them separately. For instance, G03AB08 “</w:t>
      </w:r>
      <w:proofErr w:type="spellStart"/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dienogest</w:t>
      </w:r>
      <w:proofErr w:type="spellEnd"/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and estradiol” was broken into “</w:t>
      </w:r>
      <w:proofErr w:type="spellStart"/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dienogest</w:t>
      </w:r>
      <w:proofErr w:type="spellEnd"/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”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lastRenderedPageBreak/>
        <w:t>and “estradiol”</w:t>
      </w:r>
      <w:r w:rsidR="002E2A0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and subsequently mapped to RxNorm ingredients </w:t>
      </w:r>
      <w:proofErr w:type="spellStart"/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dienogest</w:t>
      </w:r>
      <w:proofErr w:type="spellEnd"/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2E2A0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(</w:t>
      </w:r>
      <w:r w:rsidR="00CF00F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RXCUI, </w:t>
      </w:r>
      <w:r w:rsidR="00EC2D3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22968</w:t>
      </w:r>
      <w:r w:rsidR="002E2A0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)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and </w:t>
      </w:r>
      <w:r w:rsidR="002E2A0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e</w:t>
      </w:r>
      <w:r w:rsidR="002E2A08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stradiol </w:t>
      </w:r>
      <w:r w:rsidR="002E2A0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(</w:t>
      </w:r>
      <w:r w:rsidR="00EC2D3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RXCUI, 4083</w:t>
      </w:r>
      <w:r w:rsidR="002E2A0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)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. </w:t>
      </w:r>
    </w:p>
    <w:p w14:paraId="5DE21111" w14:textId="77777777" w:rsidR="00807F5D" w:rsidRDefault="008B01DF" w:rsidP="002F08BB">
      <w:pPr>
        <w:ind w:firstLine="720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After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d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eriving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combination and Dose Form attributes, we selected the highest and most appropriate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RxNorm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concepts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based on the similarity of attributes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using an automated script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. We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then followed the RxNorm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hierarchy to expand the mapping to all possible descendants.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If descendants overlap, we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establish</w:t>
      </w:r>
      <w:r w:rsidR="00D51CB1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ed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D51CB1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 ranking system </w:t>
      </w:r>
      <w:r w:rsidR="006428D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to prioritize </w:t>
      </w:r>
      <w:r w:rsidR="00F73EC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matching</w:t>
      </w:r>
      <w:r w:rsidR="00011F1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based on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ATC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attribute complexity</w:t>
      </w:r>
      <w:r w:rsidR="00E877C4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: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First, precise combinations where all components </w:t>
      </w:r>
      <w:r w:rsidR="00B0784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were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defined (e.g.</w:t>
      </w:r>
      <w:r w:rsidR="00B0784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83514D" w:rsidRPr="0083514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N02AJ13 </w:t>
      </w:r>
      <w:r w:rsidRPr="008B01D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tramadol and paracetamol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)</w:t>
      </w:r>
      <w:r w:rsidR="00B0784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;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FA7F7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</w:t>
      </w:r>
      <w:r w:rsidR="00E877C4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econd</w:t>
      </w:r>
      <w:r w:rsidR="00B0784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the combination</w:t>
      </w:r>
      <w:r w:rsidR="00FA7F7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with broader groups (</w:t>
      </w:r>
      <w:r w:rsidR="0083514D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e.g. N02BE71 </w:t>
      </w:r>
      <w:proofErr w:type="spellStart"/>
      <w:r w:rsidR="0083514D" w:rsidRPr="0083514D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paracetamol</w:t>
      </w:r>
      <w:proofErr w:type="spellEnd"/>
      <w:r w:rsidR="0083514D" w:rsidRPr="0083514D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, </w:t>
      </w:r>
      <w:proofErr w:type="spellStart"/>
      <w:r w:rsidR="0083514D" w:rsidRPr="0083514D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combinations</w:t>
      </w:r>
      <w:proofErr w:type="spellEnd"/>
      <w:r w:rsidR="0083514D" w:rsidRPr="0083514D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83514D" w:rsidRPr="0083514D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with</w:t>
      </w:r>
      <w:proofErr w:type="spellEnd"/>
      <w:r w:rsidR="0083514D" w:rsidRPr="0083514D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83514D" w:rsidRPr="0083514D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psycholeptics</w:t>
      </w:r>
      <w:proofErr w:type="spellEnd"/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)</w:t>
      </w:r>
      <w:r w:rsidR="00FA7F7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and </w:t>
      </w:r>
      <w:r w:rsidR="00FA7F7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last,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single-substance ATC </w:t>
      </w:r>
      <w:r w:rsidR="0083514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5</w:t>
      </w:r>
      <w:r w:rsidR="0083514D" w:rsidRPr="0083514D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th</w:t>
      </w:r>
      <w:r w:rsidR="0083514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concepts</w:t>
      </w:r>
      <w:r w:rsidR="0083514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(N02BE01 </w:t>
      </w:r>
      <w:r w:rsidR="0083514D" w:rsidRPr="0083514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paracetamol</w:t>
      </w:r>
      <w:r w:rsidR="0083514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)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 In this way, we eliminate</w:t>
      </w:r>
      <w:r w:rsidR="007E1A31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d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pseudo-duplicates that might have been assigned </w:t>
      </w:r>
      <w:r w:rsidR="00E51980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other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ATC </w:t>
      </w:r>
      <w:r w:rsidR="002F08B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5</w:t>
      </w:r>
      <w:r w:rsidR="002F08BB" w:rsidRPr="002F08BB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th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-level </w:t>
      </w:r>
      <w:r w:rsidR="00E51980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codes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. </w:t>
      </w:r>
    </w:p>
    <w:p w14:paraId="44B5A526" w14:textId="77777777" w:rsidR="00BA2F3A" w:rsidRPr="00807F5D" w:rsidRDefault="00BA2F3A" w:rsidP="00720099">
      <w:pPr>
        <w:ind w:firstLine="720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</w:p>
    <w:p w14:paraId="078D72D5" w14:textId="77777777" w:rsidR="00807F5D" w:rsidRPr="00807F5D" w:rsidRDefault="00807F5D" w:rsidP="00807F5D">
      <w:pP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 w:rsidRPr="00807F5D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Results</w:t>
      </w:r>
    </w:p>
    <w:p w14:paraId="587B088E" w14:textId="62B96CC3" w:rsidR="00807F5D" w:rsidRPr="00807F5D" w:rsidRDefault="00B0337C" w:rsidP="003869EB">
      <w:pPr>
        <w:ind w:firstLine="720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Of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all </w:t>
      </w:r>
      <w:r w:rsidR="004C591A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4,964</w:t>
      </w:r>
      <w:r w:rsidR="00B050B2" w:rsidRPr="00B050B2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ATC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5</w:t>
      </w:r>
      <w:r w:rsidRPr="002F08BB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th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-level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concepts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r w:rsidR="006F1301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w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e mapped </w:t>
      </w:r>
      <w:r w:rsidR="006A5AB9" w:rsidRPr="006A5AB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3</w:t>
      </w:r>
      <w:r w:rsidR="006A5AB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</w:t>
      </w:r>
      <w:r w:rsidR="004C591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809</w:t>
      </w:r>
      <w:r w:rsidR="006A5AB9" w:rsidRPr="006A5AB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(</w:t>
      </w:r>
      <w:r w:rsidR="006A5AB9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77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%) to RxNorm concepts. </w:t>
      </w:r>
      <w:r w:rsidR="00FD7E9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Among</w:t>
      </w:r>
      <w:r w:rsidR="00FD7E95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FD7E9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mapped ATC </w:t>
      </w:r>
      <w:r w:rsidR="00FD7E95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codes, </w:t>
      </w:r>
      <w:r w:rsidR="004C591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518</w:t>
      </w:r>
      <w:r w:rsidR="00FD7E9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(</w:t>
      </w:r>
      <w:r w:rsidR="006A5AB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1</w:t>
      </w:r>
      <w:r w:rsidR="004C591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0.4</w:t>
      </w:r>
      <w:r w:rsidR="006A5AB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4</w:t>
      </w:r>
      <w:r w:rsidR="00FD7E95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% </w:t>
      </w:r>
      <w:r w:rsidR="00FD7E9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of the total</w:t>
      </w:r>
      <w:r w:rsidR="00FD7E95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) were </w:t>
      </w:r>
      <w:r w:rsidR="00FD7E9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unambiguous and </w:t>
      </w:r>
      <w:proofErr w:type="spellStart"/>
      <w:r w:rsidR="00FD7E9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covered</w:t>
      </w:r>
      <w:proofErr w:type="spellEnd"/>
      <w:r w:rsidR="00FD7E9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="00FD7E95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any</w:t>
      </w:r>
      <w:proofErr w:type="spellEnd"/>
      <w:r w:rsidR="00FD7E95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RxNorm </w:t>
      </w:r>
      <w:r w:rsidR="00FD7E9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concept containing that ingredient</w:t>
      </w:r>
      <w:r w:rsidR="00FD7E95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FD7E9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with no additional attribute constraints, while the others underwent the above heuristic. </w:t>
      </w:r>
      <w:r w:rsidR="006F1301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Unmapped codes </w:t>
      </w:r>
      <w:r w:rsidR="0097369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includ</w:t>
      </w:r>
      <w:r w:rsidR="006F1301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e</w:t>
      </w:r>
      <w:r w:rsidR="0097369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unapproved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ingredients in </w:t>
      </w:r>
      <w:r w:rsidR="0050089C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the 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US</w:t>
      </w:r>
      <w:r w:rsidR="001542E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(e.g. </w:t>
      </w:r>
      <w:r w:rsidR="001542ED" w:rsidRPr="001542E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A08AA06 </w:t>
      </w:r>
      <w:proofErr w:type="spellStart"/>
      <w:r w:rsidR="001542ED" w:rsidRPr="001542E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etilamfetamin</w:t>
      </w:r>
      <w:r w:rsidR="001542E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e</w:t>
      </w:r>
      <w:proofErr w:type="spellEnd"/>
      <w:r w:rsidR="001542E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)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 combinations of ingredients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not marketed here</w:t>
      </w:r>
      <w:r w:rsidRPr="00AC53A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(e.g. </w:t>
      </w:r>
      <w:r w:rsidRPr="00B0337C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A10BD12 </w:t>
      </w:r>
      <w:proofErr w:type="spellStart"/>
      <w:r w:rsidRPr="00B0337C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pioglitazone</w:t>
      </w:r>
      <w:proofErr w:type="spellEnd"/>
      <w:r w:rsidRPr="00B0337C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Pr="00B0337C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and</w:t>
      </w:r>
      <w:proofErr w:type="spellEnd"/>
      <w:r w:rsidRPr="00B0337C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 xml:space="preserve"> </w:t>
      </w:r>
      <w:proofErr w:type="spellStart"/>
      <w:r w:rsidRPr="00B0337C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sitagliptin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)</w:t>
      </w:r>
      <w:r w:rsidR="0097369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and ingredients with non-typical </w:t>
      </w:r>
      <w:r w:rsidR="0097369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ROA</w:t>
      </w:r>
      <w:r w:rsidR="006F1301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(e.g.</w:t>
      </w:r>
      <w:r w:rsidR="00FD7E95" w:rsidRPr="00FD7E95">
        <w:t xml:space="preserve"> </w:t>
      </w:r>
      <w:r w:rsidR="00FD7E95" w:rsidRPr="00FD7E9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V10AA03 yttrium (90Y) silicate colloid</w:t>
      </w:r>
      <w:r w:rsidR="006F1301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)</w:t>
      </w:r>
      <w:r w:rsidR="007E1E1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. </w:t>
      </w:r>
      <w:r w:rsidR="00FD7E95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Looking from the RxNorm coverage</w:t>
      </w:r>
      <w:r w:rsidR="003869E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28,133 out of a total of </w:t>
      </w:r>
      <w:r w:rsidR="003869EB" w:rsidRPr="003869E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33</w:t>
      </w:r>
      <w:r w:rsidR="003869E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</w:t>
      </w:r>
      <w:r w:rsidR="003869EB" w:rsidRPr="003869E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903</w:t>
      </w:r>
      <w:r w:rsidR="003869E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of Clinical Drugs (83%) have an ATC ancestor. That is up from the </w:t>
      </w:r>
      <w:r w:rsidR="003869EB">
        <w:rPr>
          <w:rFonts w:ascii="Times New Roman" w:eastAsia="Times New Roman" w:hAnsi="Times New Roman" w:cs="Times New Roman"/>
          <w:bCs/>
          <w:color w:val="000000"/>
          <w:sz w:val="22"/>
          <w:szCs w:val="22"/>
          <w:lang w:val="de-DE"/>
        </w:rPr>
        <w:t>(</w:t>
      </w:r>
      <w:r w:rsidR="00CC4A1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27.7%</w:t>
      </w:r>
      <w:r w:rsidR="003869E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)</w:t>
      </w:r>
      <w:r w:rsidR="00CC4A1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RxNorm coverage</w:t>
      </w:r>
      <w:r w:rsidR="0072009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that </w:t>
      </w:r>
      <w:r w:rsidR="00E060A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National Library of Medicine </w:t>
      </w:r>
      <w:r w:rsidR="0072009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cross</w:t>
      </w:r>
      <w:r w:rsidR="003869EB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-</w:t>
      </w:r>
      <w:r w:rsidR="0072009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walks provide</w:t>
      </w:r>
      <w:r w:rsidR="00807F5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</w:t>
      </w:r>
      <w:r w:rsidR="00E060A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It includes not only </w:t>
      </w:r>
      <w:proofErr w:type="spellStart"/>
      <w:r w:rsidR="00E060A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monoingredient</w:t>
      </w:r>
      <w:proofErr w:type="spellEnd"/>
      <w:r w:rsidR="00E060A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drugs, but a</w:t>
      </w:r>
      <w:bookmarkStart w:id="0" w:name="_GoBack"/>
      <w:bookmarkEnd w:id="0"/>
      <w:r w:rsidR="00E060A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lso combinations and complicated and ambiguous groups of drugs such as vaccines and insulins. </w:t>
      </w:r>
      <w:r w:rsidR="007D5763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Since ATC hierarchy is not comprehensive, we do not expect to cover all drugs, but </w:t>
      </w:r>
      <w:r w:rsidR="00E060A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our approach allows to automatically expand the mappings once ATC is updated.</w:t>
      </w:r>
    </w:p>
    <w:p w14:paraId="03040BC0" w14:textId="7E8E56EB" w:rsidR="00F747B1" w:rsidRDefault="00807F5D" w:rsidP="002355E0">
      <w:pPr>
        <w:ind w:firstLine="720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We noticed </w:t>
      </w:r>
      <w:r w:rsidR="00811544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high level </w:t>
      </w:r>
      <w:r w:rsidR="00C2006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of variations in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mapping</w:t>
      </w:r>
      <w:r w:rsidR="00C2006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distribution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per ATC code</w:t>
      </w:r>
      <w:r w:rsidR="00C2006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s ranging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from </w:t>
      </w:r>
      <w:r w:rsidR="00C2006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2 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to 23</w:t>
      </w:r>
      <w:r w:rsidR="00720099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499 drug</w:t>
      </w:r>
      <w:r w:rsidR="0017117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concepts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in RxNorm (average 443 concepts per </w:t>
      </w:r>
      <w:r w:rsidR="0017117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one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ATC code).</w:t>
      </w:r>
      <w:r w:rsidR="00E060A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0F5AB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Compared to the </w:t>
      </w:r>
      <w:bookmarkStart w:id="1" w:name="_Hlk12217912"/>
      <w:r w:rsidR="000F5AB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NLM-provided cross</w:t>
      </w:r>
      <w:r w:rsidR="002355E0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-</w:t>
      </w:r>
      <w:r w:rsidR="000F5AB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maps</w:t>
      </w:r>
      <w:bookmarkEnd w:id="1"/>
      <w:r w:rsidR="000F5AB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 our approach yielded 88% overlap</w:t>
      </w:r>
      <w:r w:rsidR="000871D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0871D2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(Figure 1)</w:t>
      </w:r>
      <w:r w:rsidR="000871D2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, and</w:t>
      </w:r>
      <w:r w:rsidR="00F747B1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cover</w:t>
      </w:r>
      <w:r w:rsidR="00F747B1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ed</w:t>
      </w:r>
      <w:r w:rsidR="00F747B1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371 additional concepts as we also processed multi-component drugs and combinations</w:t>
      </w:r>
      <w:r w:rsidR="00720099">
        <w:rPr>
          <w:rFonts w:ascii="Times New Roman" w:eastAsia="Times New Roman" w:hAnsi="Times New Roman" w:cs="Times New Roman"/>
          <w:bCs/>
          <w:color w:val="000000"/>
          <w:sz w:val="22"/>
          <w:szCs w:val="22"/>
          <w:vertAlign w:val="superscript"/>
        </w:rPr>
        <w:t>2</w:t>
      </w:r>
      <w:r w:rsidR="00F747B1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</w:t>
      </w:r>
    </w:p>
    <w:p w14:paraId="4D438843" w14:textId="77777777" w:rsidR="000F5AB2" w:rsidRDefault="000F5AB2" w:rsidP="000F5AB2">
      <w:pPr>
        <w:ind w:firstLine="720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</w:p>
    <w:p w14:paraId="32CF3F12" w14:textId="77777777" w:rsidR="00C17A1D" w:rsidRPr="00866899" w:rsidRDefault="00C26280" w:rsidP="00C17A1D">
      <w:pP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fldChar w:fldCharType="begin"/>
      </w:r>
      <w:r w:rsidR="00C17A1D"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instrText xml:space="preserve"> INCLUDEPICTURE "https://lh6.googleusercontent.com/H_yKpI6uqiYK0KgDYZSC7XG4PhVwRuFYDO_YvxBpqePQankU5n_yJHKPYOge1RDCtyDcEdpxrD-KlU9Ieclx92QozgKj9Xmqz5VfAgq2zIcFL-WODhmQB9wK3fw20hrvsY_yW9mDraEr0gfOvQ" \* MERGEFORMATINET </w:instrTex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fldChar w:fldCharType="separate"/>
      </w:r>
      <w:r w:rsidR="002044D4">
        <w:rPr>
          <w:rFonts w:ascii="Times New Roman" w:eastAsia="Times New Roman" w:hAnsi="Times New Roman" w:cs="Times New Roman"/>
          <w:bCs/>
          <w:noProof/>
          <w:color w:val="000000"/>
          <w:sz w:val="22"/>
          <w:szCs w:val="22"/>
        </w:rPr>
        <w:drawing>
          <wp:inline distT="0" distB="0" distL="0" distR="0" wp14:anchorId="165F1793" wp14:editId="59182FA7">
            <wp:extent cx="2825219" cy="1955800"/>
            <wp:effectExtent l="0" t="0" r="0" b="6350"/>
            <wp:docPr id="1" name="Picture 1" descr="https://lh4.googleusercontent.com/2pSFKjNVHc46fHYULYnxj1bZMgW6Yv8JpO3T-JM1lvUn6ob63l0mLpSIRQ8eTZuAzWbDil8Mjtsfexg3wLjCPE4Cf3svpcEtWkgD0r0ik508wDj13YQO34Oi8SS8Kqr5CXjNX_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2pSFKjNVHc46fHYULYnxj1bZMgW6Yv8JpO3T-JM1lvUn6ob63l0mLpSIRQ8eTZuAzWbDil8Mjtsfexg3wLjCPE4Cf3svpcEtWkgD0r0ik508wDj13YQO34Oi8SS8Kqr5CXjNX_4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294" cy="1960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fldChar w:fldCharType="end"/>
      </w:r>
    </w:p>
    <w:p w14:paraId="53B36004" w14:textId="77777777" w:rsidR="00C17A1D" w:rsidRPr="000871D2" w:rsidRDefault="00C26280" w:rsidP="00C17A1D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C26280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</w:rPr>
        <w:t>Figure 1. The comparison of ATC-to-RxNorm mapping performance between the NLM-provided relationships and yielded from our approach.</w:t>
      </w:r>
    </w:p>
    <w:p w14:paraId="2377686D" w14:textId="77777777" w:rsidR="00807F5D" w:rsidRPr="00807F5D" w:rsidRDefault="00807F5D" w:rsidP="00807F5D">
      <w:pP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</w:p>
    <w:p w14:paraId="36EDD173" w14:textId="77777777" w:rsidR="00807F5D" w:rsidRPr="00807F5D" w:rsidRDefault="00807F5D" w:rsidP="00807F5D">
      <w:pP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807F5D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Conclusion</w:t>
      </w:r>
    </w:p>
    <w:p w14:paraId="5C88F6ED" w14:textId="77777777" w:rsidR="00BA2F3A" w:rsidRPr="00807F5D" w:rsidRDefault="00807F5D" w:rsidP="00A13CFC">
      <w:pPr>
        <w:ind w:firstLine="720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Our </w:t>
      </w:r>
      <w:r w:rsidR="00BA2F3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semi-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automated mechanism preserves the correct mapping between ATC and drugs, but also maintains a semantically correct assignment of ingredients. This will allow</w:t>
      </w:r>
      <w:r w:rsidR="005A2AD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A44986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OMOP vocabulary users to use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ATC as the standard classification system for </w:t>
      </w:r>
      <w:r w:rsidR="00A44986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drug products</w:t>
      </w: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. </w:t>
      </w:r>
      <w:r w:rsidR="00A44986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We </w:t>
      </w:r>
      <w:r w:rsidR="00B6131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are currently working on the mapping to extend the mapping to remaining ATC codes</w:t>
      </w:r>
      <w:r w:rsidR="00A26B6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 w:rsidR="00BE352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that will mostly cover </w:t>
      </w:r>
      <w:r w:rsidR="00E060A8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indications</w:t>
      </w:r>
      <w:r w:rsidR="00A26B6A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and </w:t>
      </w:r>
      <w:r w:rsidR="00776A0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non-therapeutic agents (e.g., media contrasts)</w:t>
      </w:r>
      <w:r w:rsidR="00B6131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</w:t>
      </w:r>
    </w:p>
    <w:p w14:paraId="0D75CD40" w14:textId="77777777" w:rsidR="00807F5D" w:rsidRPr="00807F5D" w:rsidRDefault="00807F5D" w:rsidP="00807F5D">
      <w:pP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 w:rsidRPr="00807F5D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References </w:t>
      </w:r>
    </w:p>
    <w:p w14:paraId="7B4FB9FB" w14:textId="77777777" w:rsidR="00807F5D" w:rsidRPr="00807F5D" w:rsidRDefault="00807F5D" w:rsidP="00807F5D">
      <w:pP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</w:p>
    <w:p w14:paraId="3C9ED90E" w14:textId="77777777" w:rsidR="00807F5D" w:rsidRPr="00807F5D" w:rsidRDefault="00807F5D" w:rsidP="00D77C9D">
      <w:pP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lastRenderedPageBreak/>
        <w:t xml:space="preserve">1. </w:t>
      </w:r>
      <w:r w:rsidR="00D77C9D" w:rsidRPr="00D77C9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WHO Collaborating Centre for Drug Statistics Methodology, Guidelines for ATC classification and DDD assignment 2019. Oslo, Norway, 2018.</w:t>
      </w:r>
      <w:r w:rsidR="00D77C9D" w:rsidRPr="00D77C9D" w:rsidDel="00D77C9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</w:p>
    <w:p w14:paraId="34F9C621" w14:textId="77777777" w:rsidR="00807F5D" w:rsidRPr="00807F5D" w:rsidRDefault="00807F5D" w:rsidP="00807F5D">
      <w:pP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2. </w:t>
      </w:r>
      <w:proofErr w:type="spellStart"/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Bodenreider</w:t>
      </w:r>
      <w:proofErr w:type="spellEnd"/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O, Rodriguez LM. Analyzing U.S. prescription lists with RxNorm and the ATC/DDD Index. AMIA </w:t>
      </w:r>
      <w:proofErr w:type="spellStart"/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Annu</w:t>
      </w:r>
      <w:proofErr w:type="spellEnd"/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proofErr w:type="spellStart"/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Symp</w:t>
      </w:r>
      <w:proofErr w:type="spellEnd"/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Proc. 2014;2014:297-306. Published 2014 Nov 14.</w:t>
      </w:r>
    </w:p>
    <w:p w14:paraId="6D32A3DF" w14:textId="77777777" w:rsidR="00A47502" w:rsidRPr="00807F5D" w:rsidRDefault="00807F5D" w:rsidP="003225D9">
      <w:pPr>
        <w:rPr>
          <w:rFonts w:ascii="Times New Roman" w:hAnsi="Times New Roman" w:cs="Times New Roman"/>
          <w:sz w:val="22"/>
          <w:szCs w:val="22"/>
        </w:rPr>
      </w:pPr>
      <w:r w:rsidRPr="00807F5D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br/>
      </w:r>
    </w:p>
    <w:sectPr w:rsidR="00A47502" w:rsidRPr="00807F5D" w:rsidSect="00AB71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7F5D"/>
    <w:rsid w:val="00011F19"/>
    <w:rsid w:val="0001674D"/>
    <w:rsid w:val="00022A82"/>
    <w:rsid w:val="0003086D"/>
    <w:rsid w:val="0006313C"/>
    <w:rsid w:val="000871D2"/>
    <w:rsid w:val="000A333B"/>
    <w:rsid w:val="000B70B4"/>
    <w:rsid w:val="000C38ED"/>
    <w:rsid w:val="000F0C06"/>
    <w:rsid w:val="000F5AB2"/>
    <w:rsid w:val="000F7151"/>
    <w:rsid w:val="00101CE6"/>
    <w:rsid w:val="00107278"/>
    <w:rsid w:val="001218EF"/>
    <w:rsid w:val="0012587C"/>
    <w:rsid w:val="001308B1"/>
    <w:rsid w:val="00132F59"/>
    <w:rsid w:val="00136BB7"/>
    <w:rsid w:val="001415CA"/>
    <w:rsid w:val="00143EA8"/>
    <w:rsid w:val="001542ED"/>
    <w:rsid w:val="00167BB9"/>
    <w:rsid w:val="00171177"/>
    <w:rsid w:val="001750C4"/>
    <w:rsid w:val="0017732C"/>
    <w:rsid w:val="00183BD2"/>
    <w:rsid w:val="001847F1"/>
    <w:rsid w:val="00184991"/>
    <w:rsid w:val="001A18EB"/>
    <w:rsid w:val="001D04B8"/>
    <w:rsid w:val="001D1BA2"/>
    <w:rsid w:val="001E3DD1"/>
    <w:rsid w:val="001E771D"/>
    <w:rsid w:val="001E7F3C"/>
    <w:rsid w:val="002044D4"/>
    <w:rsid w:val="00204A53"/>
    <w:rsid w:val="00206005"/>
    <w:rsid w:val="00221017"/>
    <w:rsid w:val="002232D3"/>
    <w:rsid w:val="002355E0"/>
    <w:rsid w:val="002447FE"/>
    <w:rsid w:val="00253105"/>
    <w:rsid w:val="0026393F"/>
    <w:rsid w:val="00270446"/>
    <w:rsid w:val="0028253A"/>
    <w:rsid w:val="002B0CFC"/>
    <w:rsid w:val="002C4616"/>
    <w:rsid w:val="002D2312"/>
    <w:rsid w:val="002E2A08"/>
    <w:rsid w:val="002E47D8"/>
    <w:rsid w:val="002F08BB"/>
    <w:rsid w:val="003225D9"/>
    <w:rsid w:val="0032561B"/>
    <w:rsid w:val="00326A90"/>
    <w:rsid w:val="003311E2"/>
    <w:rsid w:val="00342984"/>
    <w:rsid w:val="003439FB"/>
    <w:rsid w:val="00364E9F"/>
    <w:rsid w:val="00380401"/>
    <w:rsid w:val="003869EB"/>
    <w:rsid w:val="00392BC1"/>
    <w:rsid w:val="003B043E"/>
    <w:rsid w:val="003B3068"/>
    <w:rsid w:val="003B4714"/>
    <w:rsid w:val="003B7181"/>
    <w:rsid w:val="003E5F01"/>
    <w:rsid w:val="0041245C"/>
    <w:rsid w:val="00422DF0"/>
    <w:rsid w:val="00441B2C"/>
    <w:rsid w:val="004425D8"/>
    <w:rsid w:val="00443C0B"/>
    <w:rsid w:val="00451451"/>
    <w:rsid w:val="00456549"/>
    <w:rsid w:val="00460DA1"/>
    <w:rsid w:val="004623DF"/>
    <w:rsid w:val="00466DD7"/>
    <w:rsid w:val="004724A2"/>
    <w:rsid w:val="0047380F"/>
    <w:rsid w:val="00484EF3"/>
    <w:rsid w:val="004876F5"/>
    <w:rsid w:val="0049210A"/>
    <w:rsid w:val="004969BF"/>
    <w:rsid w:val="0049754E"/>
    <w:rsid w:val="004A25BA"/>
    <w:rsid w:val="004C591A"/>
    <w:rsid w:val="0050089C"/>
    <w:rsid w:val="00524111"/>
    <w:rsid w:val="00524E50"/>
    <w:rsid w:val="00525E32"/>
    <w:rsid w:val="00543450"/>
    <w:rsid w:val="00544D04"/>
    <w:rsid w:val="00550530"/>
    <w:rsid w:val="005A2AD8"/>
    <w:rsid w:val="005C219B"/>
    <w:rsid w:val="005C3EBC"/>
    <w:rsid w:val="005D5D4D"/>
    <w:rsid w:val="005E1B23"/>
    <w:rsid w:val="00604DAB"/>
    <w:rsid w:val="00622DD6"/>
    <w:rsid w:val="006319BC"/>
    <w:rsid w:val="006428D5"/>
    <w:rsid w:val="00643B57"/>
    <w:rsid w:val="0064668E"/>
    <w:rsid w:val="00665B33"/>
    <w:rsid w:val="00673547"/>
    <w:rsid w:val="0067742D"/>
    <w:rsid w:val="0069623B"/>
    <w:rsid w:val="00696307"/>
    <w:rsid w:val="00696A99"/>
    <w:rsid w:val="006A5AB9"/>
    <w:rsid w:val="006D272A"/>
    <w:rsid w:val="006E0639"/>
    <w:rsid w:val="006E513A"/>
    <w:rsid w:val="006F1301"/>
    <w:rsid w:val="00702D06"/>
    <w:rsid w:val="00707630"/>
    <w:rsid w:val="007111CF"/>
    <w:rsid w:val="00720099"/>
    <w:rsid w:val="00730D44"/>
    <w:rsid w:val="0074607C"/>
    <w:rsid w:val="0075628D"/>
    <w:rsid w:val="007633ED"/>
    <w:rsid w:val="00776700"/>
    <w:rsid w:val="00776A07"/>
    <w:rsid w:val="0079624C"/>
    <w:rsid w:val="007A1DDB"/>
    <w:rsid w:val="007A715B"/>
    <w:rsid w:val="007C63A3"/>
    <w:rsid w:val="007D5763"/>
    <w:rsid w:val="007E1A31"/>
    <w:rsid w:val="007E1E18"/>
    <w:rsid w:val="00806F91"/>
    <w:rsid w:val="00807F5D"/>
    <w:rsid w:val="00811544"/>
    <w:rsid w:val="00812C99"/>
    <w:rsid w:val="00817279"/>
    <w:rsid w:val="00817D9F"/>
    <w:rsid w:val="00820B7A"/>
    <w:rsid w:val="00827B93"/>
    <w:rsid w:val="0083514D"/>
    <w:rsid w:val="00840379"/>
    <w:rsid w:val="00856F07"/>
    <w:rsid w:val="00861E29"/>
    <w:rsid w:val="00866899"/>
    <w:rsid w:val="0089090B"/>
    <w:rsid w:val="00890F85"/>
    <w:rsid w:val="008965E8"/>
    <w:rsid w:val="008969D4"/>
    <w:rsid w:val="008B01DF"/>
    <w:rsid w:val="008D2F77"/>
    <w:rsid w:val="008F17F8"/>
    <w:rsid w:val="008F2716"/>
    <w:rsid w:val="008F42E3"/>
    <w:rsid w:val="00914FA9"/>
    <w:rsid w:val="00921BDE"/>
    <w:rsid w:val="009404A6"/>
    <w:rsid w:val="00942EB3"/>
    <w:rsid w:val="00951900"/>
    <w:rsid w:val="009603A6"/>
    <w:rsid w:val="00963E14"/>
    <w:rsid w:val="00973697"/>
    <w:rsid w:val="00981497"/>
    <w:rsid w:val="009946A1"/>
    <w:rsid w:val="00994D52"/>
    <w:rsid w:val="009B73ED"/>
    <w:rsid w:val="009D318B"/>
    <w:rsid w:val="009F2F56"/>
    <w:rsid w:val="009F33A7"/>
    <w:rsid w:val="009F37D3"/>
    <w:rsid w:val="00A10B45"/>
    <w:rsid w:val="00A13376"/>
    <w:rsid w:val="00A13CFC"/>
    <w:rsid w:val="00A15634"/>
    <w:rsid w:val="00A25CE1"/>
    <w:rsid w:val="00A26B6A"/>
    <w:rsid w:val="00A35DC5"/>
    <w:rsid w:val="00A36DD3"/>
    <w:rsid w:val="00A36EA0"/>
    <w:rsid w:val="00A372A7"/>
    <w:rsid w:val="00A41E34"/>
    <w:rsid w:val="00A44986"/>
    <w:rsid w:val="00A47159"/>
    <w:rsid w:val="00A6790C"/>
    <w:rsid w:val="00A723A3"/>
    <w:rsid w:val="00A755D2"/>
    <w:rsid w:val="00A83ED7"/>
    <w:rsid w:val="00A942EE"/>
    <w:rsid w:val="00AA7471"/>
    <w:rsid w:val="00AB7174"/>
    <w:rsid w:val="00AC4CA3"/>
    <w:rsid w:val="00AC53A5"/>
    <w:rsid w:val="00AD2BDA"/>
    <w:rsid w:val="00AD74C9"/>
    <w:rsid w:val="00AE5F0A"/>
    <w:rsid w:val="00B0337C"/>
    <w:rsid w:val="00B050B2"/>
    <w:rsid w:val="00B0784D"/>
    <w:rsid w:val="00B150FB"/>
    <w:rsid w:val="00B1781A"/>
    <w:rsid w:val="00B3027F"/>
    <w:rsid w:val="00B36959"/>
    <w:rsid w:val="00B608D6"/>
    <w:rsid w:val="00B6131E"/>
    <w:rsid w:val="00B6177E"/>
    <w:rsid w:val="00B74D39"/>
    <w:rsid w:val="00B74D6D"/>
    <w:rsid w:val="00B75DCD"/>
    <w:rsid w:val="00B82756"/>
    <w:rsid w:val="00B87729"/>
    <w:rsid w:val="00BA2F3A"/>
    <w:rsid w:val="00BA68D2"/>
    <w:rsid w:val="00BB7179"/>
    <w:rsid w:val="00BE063D"/>
    <w:rsid w:val="00BE352E"/>
    <w:rsid w:val="00BF17C8"/>
    <w:rsid w:val="00C03562"/>
    <w:rsid w:val="00C10FBD"/>
    <w:rsid w:val="00C14FED"/>
    <w:rsid w:val="00C17A1D"/>
    <w:rsid w:val="00C2006F"/>
    <w:rsid w:val="00C26280"/>
    <w:rsid w:val="00C44CB3"/>
    <w:rsid w:val="00C477E0"/>
    <w:rsid w:val="00C53C79"/>
    <w:rsid w:val="00C54E31"/>
    <w:rsid w:val="00C6070D"/>
    <w:rsid w:val="00C768D7"/>
    <w:rsid w:val="00C8368E"/>
    <w:rsid w:val="00C85E9A"/>
    <w:rsid w:val="00C87B22"/>
    <w:rsid w:val="00C92A02"/>
    <w:rsid w:val="00CB12F7"/>
    <w:rsid w:val="00CB404E"/>
    <w:rsid w:val="00CC3755"/>
    <w:rsid w:val="00CC4A1B"/>
    <w:rsid w:val="00CF00F8"/>
    <w:rsid w:val="00D1083F"/>
    <w:rsid w:val="00D3151A"/>
    <w:rsid w:val="00D51CB1"/>
    <w:rsid w:val="00D60E0A"/>
    <w:rsid w:val="00D77C9D"/>
    <w:rsid w:val="00DB53D7"/>
    <w:rsid w:val="00DB5ABA"/>
    <w:rsid w:val="00DC65B8"/>
    <w:rsid w:val="00DD3A72"/>
    <w:rsid w:val="00DD7352"/>
    <w:rsid w:val="00DF1FF4"/>
    <w:rsid w:val="00E01BF1"/>
    <w:rsid w:val="00E049C1"/>
    <w:rsid w:val="00E060A8"/>
    <w:rsid w:val="00E10041"/>
    <w:rsid w:val="00E23881"/>
    <w:rsid w:val="00E27EB6"/>
    <w:rsid w:val="00E46FA8"/>
    <w:rsid w:val="00E51980"/>
    <w:rsid w:val="00E701F5"/>
    <w:rsid w:val="00E70F9E"/>
    <w:rsid w:val="00E76C3A"/>
    <w:rsid w:val="00E83383"/>
    <w:rsid w:val="00E877C4"/>
    <w:rsid w:val="00E90F6C"/>
    <w:rsid w:val="00E96E67"/>
    <w:rsid w:val="00EB5326"/>
    <w:rsid w:val="00EB7C8D"/>
    <w:rsid w:val="00EC2D3C"/>
    <w:rsid w:val="00EC7EAE"/>
    <w:rsid w:val="00ED3F48"/>
    <w:rsid w:val="00F01DF8"/>
    <w:rsid w:val="00F06ABC"/>
    <w:rsid w:val="00F10D68"/>
    <w:rsid w:val="00F5147C"/>
    <w:rsid w:val="00F54297"/>
    <w:rsid w:val="00F55629"/>
    <w:rsid w:val="00F62CAC"/>
    <w:rsid w:val="00F72F37"/>
    <w:rsid w:val="00F73EC9"/>
    <w:rsid w:val="00F747B1"/>
    <w:rsid w:val="00F80B1E"/>
    <w:rsid w:val="00F863D7"/>
    <w:rsid w:val="00F9297E"/>
    <w:rsid w:val="00F933DB"/>
    <w:rsid w:val="00FA5489"/>
    <w:rsid w:val="00FA7B12"/>
    <w:rsid w:val="00FA7F75"/>
    <w:rsid w:val="00FD7E95"/>
    <w:rsid w:val="00FF3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AC568"/>
  <w15:docId w15:val="{F440DE32-D03E-6C46-80AE-31F04798C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2628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07F5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807F5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7F5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F5D"/>
    <w:rPr>
      <w:rFonts w:ascii="Times New Roman" w:hAnsi="Times New Roman" w:cs="Times New Roman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7F5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36E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6EA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6EA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6E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6EA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6E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6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46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7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6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0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5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C4AA1E-703E-5E4A-99A9-86B428A44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3</Pages>
  <Words>1130</Words>
  <Characters>6446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Ostropolets, Anna</dc:creator>
  <cp:lastModifiedBy>Ostropolets, Anna</cp:lastModifiedBy>
  <cp:revision>17</cp:revision>
  <dcterms:created xsi:type="dcterms:W3CDTF">2019-06-24T15:30:00Z</dcterms:created>
  <dcterms:modified xsi:type="dcterms:W3CDTF">2019-09-12T20:52:00Z</dcterms:modified>
</cp:coreProperties>
</file>