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7D81" w14:textId="77777777" w:rsidR="00720099" w:rsidRDefault="00DC65B8" w:rsidP="00B608D6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Combining the ATC Drug </w:t>
      </w:r>
      <w:r w:rsidR="00B75DCD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Classification System </w:t>
      </w:r>
      <w:r w:rsidR="00B608D6">
        <w:rPr>
          <w:rFonts w:ascii="Times New Roman" w:eastAsia="Times New Roman" w:hAnsi="Times New Roman" w:cs="Times New Roman"/>
          <w:b/>
          <w:bCs/>
          <w:color w:val="000000"/>
          <w:szCs w:val="22"/>
        </w:rPr>
        <w:t>with</w:t>
      </w:r>
      <w:r w:rsidR="00B608D6" w:rsidRPr="00807F5D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the </w:t>
      </w:r>
      <w:r w:rsidR="00807F5D" w:rsidRPr="00807F5D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RxNorm 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Drug </w:t>
      </w:r>
      <w:r w:rsidR="00B608D6">
        <w:rPr>
          <w:rFonts w:ascii="Times New Roman" w:eastAsia="Times New Roman" w:hAnsi="Times New Roman" w:cs="Times New Roman"/>
          <w:b/>
          <w:bCs/>
          <w:color w:val="000000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omenclature into a </w:t>
      </w:r>
      <w:r w:rsidR="00B608D6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comprehensive Drug </w:t>
      </w:r>
      <w:r w:rsidR="00AC53A5">
        <w:rPr>
          <w:rFonts w:ascii="Times New Roman" w:eastAsia="Times New Roman" w:hAnsi="Times New Roman" w:cs="Times New Roman"/>
          <w:b/>
          <w:bCs/>
          <w:color w:val="000000"/>
          <w:szCs w:val="22"/>
        </w:rPr>
        <w:t>Ontology</w:t>
      </w:r>
      <w:r w:rsidR="00604DAB">
        <w:rPr>
          <w:rFonts w:ascii="Times New Roman" w:eastAsia="Times New Roman" w:hAnsi="Times New Roman" w:cs="Times New Roman"/>
          <w:b/>
          <w:bCs/>
          <w:color w:val="000000"/>
          <w:szCs w:val="22"/>
        </w:rPr>
        <w:t>: Challenges</w:t>
      </w:r>
      <w:r w:rsidR="00622DD6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and </w:t>
      </w:r>
      <w:r w:rsidR="00604DAB">
        <w:rPr>
          <w:rFonts w:ascii="Times New Roman" w:eastAsia="Times New Roman" w:hAnsi="Times New Roman" w:cs="Times New Roman"/>
          <w:b/>
          <w:bCs/>
          <w:color w:val="000000"/>
          <w:szCs w:val="22"/>
        </w:rPr>
        <w:t>Achievements</w:t>
      </w:r>
    </w:p>
    <w:p w14:paraId="2B1487AB" w14:textId="77777777" w:rsidR="00720099" w:rsidRPr="00807F5D" w:rsidRDefault="00720099" w:rsidP="0072009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</w:p>
    <w:p w14:paraId="4DA581BD" w14:textId="0B0BB802" w:rsidR="00720099" w:rsidRPr="00184991" w:rsidRDefault="00807F5D" w:rsidP="00B608D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Anna Ostropolets</w:t>
      </w:r>
      <w:r w:rsidR="00720099"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, MD</w:t>
      </w:r>
      <w:r w:rsidR="00720099"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1</w:t>
      </w:r>
      <w:r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, Hamed Abedtash</w:t>
      </w:r>
      <w:r w:rsidR="00720099"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="00720099" w:rsidRPr="007200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PharmD, PhD</w:t>
      </w:r>
      <w:r w:rsidR="00720099"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2</w:t>
      </w:r>
      <w:r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="00720099"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Peter </w:t>
      </w:r>
      <w:r w:rsidR="00720099" w:rsidRPr="007200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Rijnbeek</w:t>
      </w:r>
      <w:r w:rsidR="007200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</w:t>
      </w:r>
      <w:r w:rsidR="00720099" w:rsidRPr="007200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PhD</w:t>
      </w:r>
      <w:r w:rsidR="0072009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3</w:t>
      </w:r>
      <w:r w:rsidR="00720099" w:rsidRPr="007200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</w:t>
      </w:r>
      <w:r w:rsidR="0018499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4C591A" w:rsidRPr="004C591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Marcel de Wilde</w:t>
      </w:r>
      <w:r w:rsidR="004C591A" w:rsidRPr="004C591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3</w:t>
      </w:r>
      <w:r w:rsidR="004C591A" w:rsidRPr="004C591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Alexander Davydov</w:t>
      </w:r>
      <w:r w:rsidR="004C591A" w:rsidRPr="004C591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6</w:t>
      </w:r>
      <w:r w:rsidR="004C591A" w:rsidRPr="004C591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</w:t>
      </w:r>
      <w:r w:rsidR="004C591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</w:t>
      </w:r>
      <w:proofErr w:type="spellStart"/>
      <w:r w:rsidR="0018499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Olha</w:t>
      </w:r>
      <w:proofErr w:type="spellEnd"/>
      <w:r w:rsidR="0018499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Marushchak</w:t>
      </w:r>
      <w:r w:rsidR="0018499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4</w:t>
      </w:r>
      <w:r w:rsidR="0018499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Christian Reich</w:t>
      </w:r>
      <w:r w:rsidR="00720099"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="00B608D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B608D6" w:rsidRPr="007200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D</w:t>
      </w:r>
      <w:r w:rsidR="00B608D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5</w:t>
      </w:r>
    </w:p>
    <w:p w14:paraId="616F0899" w14:textId="1C86DCD8" w:rsidR="00807F5D" w:rsidRDefault="00720099" w:rsidP="00A13CFC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</w:pPr>
      <w:r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 xml:space="preserve"> </w:t>
      </w:r>
      <w:r w:rsidR="00807F5D"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Columbia University, New York City, NY, USA</w:t>
      </w:r>
      <w:r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,</w:t>
      </w:r>
      <w:r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 xml:space="preserve"> </w:t>
      </w:r>
      <w:r w:rsidR="00807F5D"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Eli Lilly &amp; Company, Indianapolis, IN, USA</w:t>
      </w:r>
      <w:r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,</w:t>
      </w:r>
      <w:r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 xml:space="preserve">3 </w:t>
      </w:r>
      <w:r w:rsidRPr="00720099">
        <w:rPr>
          <w:rFonts w:ascii="Times New Roman" w:hAnsi="Times New Roman" w:cs="Times New Roman"/>
          <w:i/>
          <w:iCs/>
          <w:sz w:val="22"/>
          <w:szCs w:val="22"/>
        </w:rPr>
        <w:t>Erasmus University Medical Center, Rotterdam, The Netherlands</w:t>
      </w:r>
      <w:r w:rsidR="00184991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184991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4 </w:t>
      </w:r>
      <w:proofErr w:type="spellStart"/>
      <w:r w:rsidR="00184991">
        <w:rPr>
          <w:rFonts w:ascii="Times New Roman" w:hAnsi="Times New Roman" w:cs="Times New Roman"/>
          <w:i/>
          <w:iCs/>
          <w:sz w:val="22"/>
          <w:szCs w:val="22"/>
        </w:rPr>
        <w:t>Danylo</w:t>
      </w:r>
      <w:proofErr w:type="spellEnd"/>
      <w:r w:rsidR="0018499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184991">
        <w:rPr>
          <w:rFonts w:ascii="Times New Roman" w:hAnsi="Times New Roman" w:cs="Times New Roman"/>
          <w:i/>
          <w:iCs/>
          <w:sz w:val="22"/>
          <w:szCs w:val="22"/>
        </w:rPr>
        <w:t>Halytsky</w:t>
      </w:r>
      <w:proofErr w:type="spellEnd"/>
      <w:r w:rsidR="0018499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184991">
        <w:rPr>
          <w:rFonts w:ascii="Times New Roman" w:hAnsi="Times New Roman" w:cs="Times New Roman"/>
          <w:i/>
          <w:iCs/>
          <w:sz w:val="22"/>
          <w:szCs w:val="22"/>
        </w:rPr>
        <w:t>Lviv</w:t>
      </w:r>
      <w:proofErr w:type="spellEnd"/>
      <w:r w:rsidR="00184991">
        <w:rPr>
          <w:rFonts w:ascii="Times New Roman" w:hAnsi="Times New Roman" w:cs="Times New Roman"/>
          <w:i/>
          <w:iCs/>
          <w:sz w:val="22"/>
          <w:szCs w:val="22"/>
        </w:rPr>
        <w:t xml:space="preserve"> National Medical University, </w:t>
      </w:r>
      <w:proofErr w:type="spellStart"/>
      <w:r w:rsidR="00184991">
        <w:rPr>
          <w:rFonts w:ascii="Times New Roman" w:hAnsi="Times New Roman" w:cs="Times New Roman"/>
          <w:i/>
          <w:iCs/>
          <w:sz w:val="22"/>
          <w:szCs w:val="22"/>
        </w:rPr>
        <w:t>Lviv</w:t>
      </w:r>
      <w:proofErr w:type="spellEnd"/>
      <w:r w:rsidR="00184991">
        <w:rPr>
          <w:rFonts w:ascii="Times New Roman" w:hAnsi="Times New Roman" w:cs="Times New Roman"/>
          <w:i/>
          <w:iCs/>
          <w:sz w:val="22"/>
          <w:szCs w:val="22"/>
        </w:rPr>
        <w:t xml:space="preserve">, Ukraine,  </w:t>
      </w:r>
      <w:r w:rsidR="00184991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5</w:t>
      </w:r>
      <w:r w:rsidR="00807F5D" w:rsidRPr="0072009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IQVIA, Cambridge, MA, USA</w:t>
      </w:r>
      <w:r w:rsidR="004C591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,</w:t>
      </w:r>
      <w:r w:rsidR="004C591A" w:rsidRPr="004C591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 xml:space="preserve">6 </w:t>
      </w:r>
      <w:r w:rsidR="004C591A" w:rsidRPr="004C591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Odysseus Data Services, Cambridge, MA, USA</w:t>
      </w:r>
      <w:r w:rsidR="00807F5D" w:rsidRPr="0072009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7BA9C6B8" w14:textId="77777777" w:rsidR="00807F5D" w:rsidRPr="00807F5D" w:rsidRDefault="00807F5D" w:rsidP="00807F5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Introduction </w:t>
      </w:r>
    </w:p>
    <w:p w14:paraId="3B398BB0" w14:textId="2B1F4BF5" w:rsidR="00807F5D" w:rsidRDefault="00807F5D" w:rsidP="0049754E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The Anatomical Therapeutic Chemical (ATC) classification of drug</w:t>
      </w:r>
      <w:r w:rsidR="00136BB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developed by the World Health Organization Collaborating Center for Drugs Statistic Methodology is </w:t>
      </w:r>
      <w:proofErr w:type="spellStart"/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emplo</w:t>
      </w:r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yed</w:t>
      </w:r>
      <w:proofErr w:type="spellEnd"/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routinely</w:t>
      </w:r>
      <w:proofErr w:type="spellEnd"/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in </w:t>
      </w:r>
      <w:r w:rsidR="005D5D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pharmacoepidemiology</w:t>
      </w:r>
      <w:r w:rsidR="00A723A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5D5D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pharmacovigilance, </w:t>
      </w:r>
      <w:proofErr w:type="spellStart"/>
      <w:r w:rsidR="00A723A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pharmacoeconom</w:t>
      </w:r>
      <w:r w:rsidR="0069623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</w:t>
      </w:r>
      <w:proofErr w:type="spellEnd"/>
      <w:r w:rsidR="0069623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9B73E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94D5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and </w:t>
      </w:r>
      <w:r w:rsidR="0069623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observational </w:t>
      </w:r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research</w:t>
      </w:r>
      <w:r w:rsidR="0069623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60E0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as well as drug utilization monitoring</w:t>
      </w:r>
      <w:r w:rsidR="0022101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programs. ATC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classif</w:t>
      </w:r>
      <w:r w:rsidR="0022101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ies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drug</w:t>
      </w:r>
      <w:r w:rsidR="00136BB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products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by </w:t>
      </w:r>
      <w:r w:rsidR="00AE5F0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E70F9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target </w:t>
      </w:r>
      <w:r w:rsidR="00AE5F0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organ</w:t>
      </w:r>
      <w:r w:rsidR="00FA548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812C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pharmacological mechanism,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therapeutic intent</w:t>
      </w:r>
      <w:r w:rsidR="00812C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62CA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chemical structure, </w:t>
      </w:r>
      <w:r w:rsidR="00A36E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or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active ingredient</w:t>
      </w:r>
      <w:r w:rsidR="00F62CA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76C3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into five levels</w:t>
      </w:r>
      <w:r w:rsidR="00720099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1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: </w:t>
      </w:r>
      <w:r w:rsidR="00A41E3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</w:t>
      </w:r>
      <w:r w:rsidR="00A41E34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he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first level represents anatomical, </w:t>
      </w:r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nd</w:t>
      </w:r>
      <w:r w:rsidR="00A755D2" w:rsidRPr="00AC53A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therapeutic</w:t>
      </w:r>
      <w:proofErr w:type="spellEnd"/>
      <w:r w:rsidR="00F863D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(=</w:t>
      </w:r>
      <w:proofErr w:type="spellStart"/>
      <w:r w:rsidR="00F863D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indication</w:t>
      </w:r>
      <w:proofErr w:type="spellEnd"/>
      <w:r w:rsidR="00F863D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)</w:t>
      </w:r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or</w:t>
      </w:r>
      <w:proofErr w:type="spellEnd"/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pharmacologic</w:t>
      </w:r>
      <w:proofErr w:type="spellEnd"/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,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rd</w:t>
      </w:r>
      <w:r w:rsidR="00A755D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and 4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="00827B9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863D7" w:rsidRPr="00F863D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chemical, </w:t>
      </w:r>
      <w:r w:rsidR="0049754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or more detailed </w:t>
      </w:r>
      <w:r w:rsidR="00F863D7" w:rsidRPr="00F863D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pharmacological or therapeutic </w:t>
      </w:r>
      <w:r w:rsidR="00F863D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attributes</w:t>
      </w:r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827B93" w:rsidRPr="00807F5D" w:rsidDel="00827B9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and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F863D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5th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most granular</w:t>
      </w:r>
      <w:r w:rsidR="00F863D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level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41E3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softHyphen/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represent</w:t>
      </w:r>
      <w:r w:rsidR="001218E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chemical structure (</w:t>
      </w:r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active ingredients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</w:t>
      </w:r>
      <w:r w:rsidR="004A25B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Since </w:t>
      </w:r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4A25BA" w:rsidRPr="004A25B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RxNorm terminology</w:t>
      </w:r>
      <w:r w:rsidR="004A25B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4A25BA" w:rsidRPr="004A25B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 the standard</w:t>
      </w:r>
      <w:r w:rsidR="00827B93" w:rsidRPr="00AC53A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for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marketed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drug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products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published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by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the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Natio</w:t>
      </w:r>
      <w:r w:rsidR="00ED3F4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n</w:t>
      </w:r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al Library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of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Medicine</w:t>
      </w:r>
      <w:proofErr w:type="spellEnd"/>
      <w:r w:rsidR="00827B9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(NLM)</w:t>
      </w:r>
      <w:r w:rsidR="00F10D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C477E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 crosswalk between ATC and RxNorm</w:t>
      </w:r>
      <w:r w:rsidR="008F271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concepts is essential </w:t>
      </w:r>
      <w:r w:rsidR="007460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to the observational studies on </w:t>
      </w:r>
      <w:r w:rsidR="00AC4CA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drug </w:t>
      </w:r>
      <w:r w:rsidR="00441B2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exposure </w:t>
      </w:r>
      <w:r w:rsidR="007460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data</w:t>
      </w:r>
      <w:r w:rsidR="00441B2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in the US</w:t>
      </w:r>
      <w:r w:rsidR="00C477E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  <w:r w:rsidR="00A36DD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D2BD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Due to the complex</w:t>
      </w:r>
      <w:r w:rsidR="00730D4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ity within </w:t>
      </w:r>
      <w:r w:rsidR="0067354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730D4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ATC</w:t>
      </w:r>
      <w:r w:rsidR="00AD2BD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258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hierarchical structure, m</w:t>
      </w:r>
      <w:r w:rsidR="0012587C" w:rsidRPr="001258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erely matching the lowest ATC </w:t>
      </w:r>
      <w:r w:rsidR="00696A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5th</w:t>
      </w:r>
      <w:r w:rsidR="0012587C" w:rsidRPr="001258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level concepts to RxNorm ingredients result</w:t>
      </w:r>
      <w:r w:rsidR="0067354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</w:t>
      </w:r>
      <w:r w:rsidR="0012587C" w:rsidRPr="001258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in misclassification of RxNorm drug concepts</w:t>
      </w:r>
      <w:r w:rsidR="0067354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since</w:t>
      </w:r>
      <w:r w:rsidR="0012587C" w:rsidRPr="001258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route, dose and indication information is lost in this transition</w:t>
      </w:r>
      <w:r w:rsidR="008F42E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43B5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leading</w:t>
      </w:r>
      <w:r w:rsidR="0012587C" w:rsidRPr="001258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to selection and measurement biases in data analysis.</w:t>
      </w:r>
      <w:r w:rsidR="00643B5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61E2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We aimed to develop and implement an automated RxNorm-to-ATC mapping </w:t>
      </w:r>
      <w:r w:rsidR="00BB717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process that would provide </w:t>
      </w:r>
      <w:r w:rsidR="0089090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the best match between concepts from the two terminologies while concept attributes are preserved.</w:t>
      </w:r>
    </w:p>
    <w:p w14:paraId="29B0A8BE" w14:textId="77777777" w:rsidR="006319BC" w:rsidRDefault="006319BC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794657A3" w14:textId="77777777" w:rsidR="00807F5D" w:rsidRPr="00ED3F48" w:rsidRDefault="00807F5D" w:rsidP="00807F5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Methods</w:t>
      </w:r>
    </w:p>
    <w:p w14:paraId="1A9D0785" w14:textId="77777777" w:rsidR="003B3068" w:rsidRDefault="00807F5D" w:rsidP="00C92A02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To create a set of comprehensive mappings, we extract</w:t>
      </w:r>
      <w:r w:rsidR="00132F5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all the ATC codes along with their names, route of administration</w:t>
      </w:r>
      <w:r w:rsidR="00132F5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(ROA)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132F5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daily defined dose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(DDD) and additional notes from the official website (https://www.whocc.no/atc_ddd_index/) using a custom Python grabber based on </w:t>
      </w:r>
      <w:r w:rsidR="00C0356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library “</w:t>
      </w:r>
      <w:proofErr w:type="spellStart"/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scra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”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 In our study, we used ATC version 2018-02-13</w:t>
      </w:r>
      <w:r w:rsidR="00206005" w:rsidRPr="00AC53A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20600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and</w:t>
      </w:r>
      <w:proofErr w:type="spellEnd"/>
      <w:r w:rsidR="0020600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RxNorm version 2018-08-12.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21BD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From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the original five-level ATC hierarchy</w:t>
      </w:r>
      <w:r w:rsidR="00921BD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we </w:t>
      </w:r>
      <w:r w:rsidR="0020600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sought to </w:t>
      </w:r>
      <w:proofErr w:type="spellStart"/>
      <w:r w:rsidR="0049754E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connect</w:t>
      </w:r>
      <w:proofErr w:type="spellEnd"/>
      <w:r w:rsidR="0049754E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r w:rsidR="00443C0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5E1B2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lowest level </w:t>
      </w:r>
      <w:r w:rsidR="000167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codes </w:t>
      </w:r>
      <w:r w:rsidR="005E1B2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in </w:t>
      </w:r>
      <w:r w:rsidR="0020600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5E1B2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ATC </w:t>
      </w:r>
      <w:r w:rsidR="00C92A0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(ATC 5</w:t>
      </w:r>
      <w:r w:rsidR="00C92A02" w:rsidRPr="00C92A02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="00C92A0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) </w:t>
      </w:r>
      <w:r w:rsidR="005E1B2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system</w:t>
      </w:r>
      <w:r w:rsidR="0049754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to RxNorm Ingredients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</w:t>
      </w:r>
      <w:r w:rsidR="00C0356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M</w:t>
      </w:r>
      <w:proofErr w:type="spellStart"/>
      <w:r w:rsidR="00EC7EA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apping</w:t>
      </w:r>
      <w:proofErr w:type="spellEnd"/>
      <w:r w:rsidR="00EC7EA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C0356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these </w:t>
      </w:r>
      <w:r w:rsidR="00EC7EA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ATC codes </w:t>
      </w:r>
      <w:r w:rsidR="0049754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requires</w:t>
      </w:r>
      <w:r w:rsidR="00C0356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to</w:t>
      </w:r>
      <w:r w:rsidR="00EC7EA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not only </w:t>
      </w:r>
      <w:r w:rsidR="00C0356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match </w:t>
      </w:r>
      <w:r w:rsidR="00EC7EA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C0356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active ingredient,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but also </w:t>
      </w:r>
      <w:r w:rsidR="00C92A0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4623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other attributes such as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indication, therapeutic usage</w:t>
      </w:r>
      <w:r w:rsidR="00F9297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2B0CF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ROA</w:t>
      </w:r>
      <w:r w:rsidR="00C92A0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(which is closely related to individual dose forms) or drug strength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 For example,</w:t>
      </w:r>
      <w:r w:rsidR="00544D0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corticosteroid prednisolone can be administered 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as </w:t>
      </w:r>
      <w:r w:rsidR="003B3068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an 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anti-inflammatory </w:t>
      </w:r>
      <w:r w:rsidR="003B3068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agent 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in </w:t>
      </w:r>
      <w:proofErr w:type="spellStart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the</w:t>
      </w:r>
      <w:proofErr w:type="spellEnd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therapeutic</w:t>
      </w:r>
      <w:proofErr w:type="spellEnd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usage</w:t>
      </w:r>
      <w:proofErr w:type="spellEnd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of</w:t>
      </w:r>
      <w:proofErr w:type="spellEnd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dermatolog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y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(D07AA03)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or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ophthalmolog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(S01CB02)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It can have a Dose Form of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nasal drops and sprays (R01AD02)</w:t>
      </w:r>
      <w:r w:rsidR="00CB404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It </w:t>
      </w:r>
      <w:r w:rsidR="00B3695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is </w:t>
      </w:r>
      <w:r w:rsidR="00CB404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also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prescribed </w:t>
      </w:r>
      <w:r w:rsidR="00F514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for oral or parenteral 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route of administration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as an immunosuppressant (H02AB06)</w:t>
      </w:r>
      <w:r w:rsidR="00F5147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or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C0356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as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 topical </w:t>
      </w:r>
      <w:proofErr w:type="spellStart"/>
      <w:r w:rsidR="00E8338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vasoprotect</w:t>
      </w:r>
      <w:r w:rsidR="00E8338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ive</w:t>
      </w:r>
      <w:proofErr w:type="spellEnd"/>
      <w:r w:rsidR="00E83383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(C05AA04).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1536442C" w14:textId="77777777" w:rsidR="008B01DF" w:rsidRDefault="00C92A02" w:rsidP="008B01DF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ATC 5</w:t>
      </w:r>
      <w:r w:rsidRPr="00C92A02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codes that are unique for an ingredient we mapped directly to the corresponding RxNorm Ingredient. Ambiguous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ATC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Pr="00C92A02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code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s, which are those where more than one of them encodes the same ingredient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the additional attributes become relevant. For each of these</w:t>
      </w:r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, in </w:t>
      </w:r>
      <w:proofErr w:type="spellStart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addition</w:t>
      </w:r>
      <w:proofErr w:type="spellEnd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to</w:t>
      </w:r>
      <w:proofErr w:type="spellEnd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the</w:t>
      </w:r>
      <w:proofErr w:type="spellEnd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ingredient</w:t>
      </w:r>
      <w:proofErr w:type="spellEnd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cross-walk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w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e</w:t>
      </w:r>
      <w:proofErr w:type="spellEnd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assigned</w:t>
      </w:r>
      <w:proofErr w:type="spellEnd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the</w:t>
      </w:r>
      <w:proofErr w:type="spellEnd"/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r w:rsid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appropriate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RxNorm Dose Form</w:t>
      </w:r>
      <w:r w:rsidR="004724A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concepts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that 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matches a given </w:t>
      </w:r>
      <w:r w:rsidR="00F80B1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ROA</w:t>
      </w:r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or therapeutic use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A portion of </w:t>
      </w:r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ATC 5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codes </w:t>
      </w:r>
      <w:r w:rsidR="002B0CF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did not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explicitly state the therapeutic use </w:t>
      </w:r>
      <w:r w:rsidR="003B30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or </w:t>
      </w:r>
      <w:r w:rsidR="00C87B2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ROA; therefore,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we inferred th</w:t>
      </w:r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C87B2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information</w:t>
      </w:r>
      <w:r w:rsidR="00C87B22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from the ATC 4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3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rd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C87B2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or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nd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5628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levels</w:t>
      </w:r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above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For example, </w:t>
      </w:r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for the </w:t>
      </w:r>
      <w:r w:rsidR="007A715B" w:rsidRPr="007A715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R01AD02</w:t>
      </w:r>
      <w:r w:rsidR="007A715B" w:rsidRPr="00AC53A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prednisolone </w:t>
      </w:r>
      <w:r w:rsidR="007A715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we gleaned the relevant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Dose Forms </w:t>
      </w:r>
      <w:r w:rsidR="008B01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from ATC 3</w:t>
      </w:r>
      <w:r w:rsidR="008B01DF" w:rsidRPr="008B01DF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rd</w:t>
      </w:r>
      <w:r w:rsidR="008B01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B01DF" w:rsidRPr="008B01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R01A </w:t>
      </w:r>
      <w:r w:rsidR="008B01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"D</w:t>
      </w:r>
      <w:r w:rsidR="008B01DF" w:rsidRPr="008B01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econgestants and other nasal preparations for topical use</w:t>
      </w:r>
      <w:r w:rsidR="008B01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".</w:t>
      </w:r>
      <w:r w:rsidR="008B01DF" w:rsidRPr="00AC53A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="008B01D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Finally</w:t>
      </w:r>
      <w:proofErr w:type="spellEnd"/>
      <w:r w:rsidR="008B01D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, w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 split multicomponent drugs into sets of separate substances and processed them separately. For instance, G03AB08 “</w:t>
      </w:r>
      <w:proofErr w:type="spellStart"/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dienogest</w:t>
      </w:r>
      <w:proofErr w:type="spellEnd"/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and estradiol” was broken into “</w:t>
      </w:r>
      <w:proofErr w:type="spellStart"/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dienogest</w:t>
      </w:r>
      <w:proofErr w:type="spellEnd"/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”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and “estradiol”</w:t>
      </w:r>
      <w:r w:rsidR="002E2A0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and subsequently mapped to RxNorm ingredients </w:t>
      </w:r>
      <w:proofErr w:type="spellStart"/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dienogest</w:t>
      </w:r>
      <w:proofErr w:type="spellEnd"/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E2A0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</w:t>
      </w:r>
      <w:r w:rsidR="00CF00F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RXCUI, </w:t>
      </w:r>
      <w:r w:rsidR="00EC2D3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22968</w:t>
      </w:r>
      <w:r w:rsidR="002E2A0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)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and </w:t>
      </w:r>
      <w:r w:rsidR="002E2A0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</w:t>
      </w:r>
      <w:r w:rsidR="002E2A08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stradiol </w:t>
      </w:r>
      <w:r w:rsidR="002E2A0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</w:t>
      </w:r>
      <w:r w:rsidR="00EC2D3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RXCUI, 4083</w:t>
      </w:r>
      <w:r w:rsidR="002E2A0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</w:t>
      </w:r>
    </w:p>
    <w:p w14:paraId="5DE21111" w14:textId="77777777" w:rsidR="00807F5D" w:rsidRDefault="008B01DF" w:rsidP="002F08BB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After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d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eriving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combination and Dose Form attributes, we selected the highest and most appropriate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RxNorm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concepts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based on the similarity of attributes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using an automated script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We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then followed the RxNorm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hierarchy to expand the mapping to all possible descendants.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If descendants overlap, we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establish</w:t>
      </w:r>
      <w:r w:rsidR="00D51CB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51CB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 ranking system </w:t>
      </w:r>
      <w:r w:rsidR="006428D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to prioritize </w:t>
      </w:r>
      <w:r w:rsidR="00F73EC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matching</w:t>
      </w:r>
      <w:r w:rsidR="00011F1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based on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ATC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attribute complexity</w:t>
      </w:r>
      <w:r w:rsidR="00E877C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: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First, precise combinations where all components </w:t>
      </w:r>
      <w:r w:rsidR="00B078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were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defined (e.g.</w:t>
      </w:r>
      <w:r w:rsidR="00B078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N02AJ13 </w:t>
      </w:r>
      <w:r w:rsidRPr="008B01D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tramadol and paracetamol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="00B078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;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A7F7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</w:t>
      </w:r>
      <w:r w:rsidR="00E877C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econd</w:t>
      </w:r>
      <w:r w:rsidR="00B078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the combination</w:t>
      </w:r>
      <w:r w:rsidR="00FA7F7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with broader groups (</w:t>
      </w:r>
      <w:r w:rsid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e.g. N02BE71 </w:t>
      </w:r>
      <w:proofErr w:type="spellStart"/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paracetamol</w:t>
      </w:r>
      <w:proofErr w:type="spellEnd"/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, </w:t>
      </w:r>
      <w:proofErr w:type="spellStart"/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combinations</w:t>
      </w:r>
      <w:proofErr w:type="spellEnd"/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with</w:t>
      </w:r>
      <w:proofErr w:type="spellEnd"/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psycholeptics</w:t>
      </w:r>
      <w:proofErr w:type="spellEnd"/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="00FA7F7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and </w:t>
      </w:r>
      <w:r w:rsidR="00FA7F7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last,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single-substance ATC </w:t>
      </w:r>
      <w:r w:rsidR="008351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="008351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concepts</w:t>
      </w:r>
      <w:r w:rsidR="008351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(N02BE01 </w:t>
      </w:r>
      <w:r w:rsidR="0083514D" w:rsidRPr="008351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paracetamol</w:t>
      </w:r>
      <w:r w:rsidR="0083514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 In this way, we eliminate</w:t>
      </w:r>
      <w:r w:rsidR="007E1A3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pseudo-duplicates that might have been assigned </w:t>
      </w:r>
      <w:r w:rsidR="00E5198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other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ATC </w:t>
      </w:r>
      <w:r w:rsidR="002F08B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="002F08BB" w:rsidRPr="002F08BB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-level </w:t>
      </w:r>
      <w:r w:rsidR="00E5198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codes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</w:t>
      </w:r>
    </w:p>
    <w:p w14:paraId="44B5A526" w14:textId="77777777" w:rsidR="00BA2F3A" w:rsidRPr="00807F5D" w:rsidRDefault="00BA2F3A" w:rsidP="00720099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078D72D5" w14:textId="77777777" w:rsidR="00807F5D" w:rsidRPr="00807F5D" w:rsidRDefault="00807F5D" w:rsidP="00807F5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Results</w:t>
      </w:r>
    </w:p>
    <w:p w14:paraId="587B088E" w14:textId="62B96CC3" w:rsidR="00807F5D" w:rsidRPr="00807F5D" w:rsidRDefault="00B0337C" w:rsidP="003869EB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all </w:t>
      </w:r>
      <w:r w:rsidR="004C591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4,964</w:t>
      </w:r>
      <w:r w:rsidR="00B050B2" w:rsidRPr="00B050B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ATC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Pr="002F08BB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-level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concepts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r w:rsidR="006F1301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w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e mapped </w:t>
      </w:r>
      <w:r w:rsidR="006A5AB9" w:rsidRPr="006A5AB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</w:t>
      </w:r>
      <w:r w:rsidR="006A5AB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4C591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809</w:t>
      </w:r>
      <w:r w:rsidR="006A5AB9" w:rsidRPr="006A5AB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</w:t>
      </w:r>
      <w:r w:rsidR="006A5AB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77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%) to RxNorm concepts. 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Among</w:t>
      </w:r>
      <w:r w:rsidR="00FD7E95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mapped ATC </w:t>
      </w:r>
      <w:r w:rsidR="00FD7E95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codes, </w:t>
      </w:r>
      <w:r w:rsidR="004C591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518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</w:t>
      </w:r>
      <w:r w:rsidR="006A5AB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="004C591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0.4</w:t>
      </w:r>
      <w:r w:rsidR="006A5AB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4</w:t>
      </w:r>
      <w:r w:rsidR="00FD7E95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% 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of the total</w:t>
      </w:r>
      <w:r w:rsidR="00FD7E95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) were 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unambiguous and </w:t>
      </w:r>
      <w:proofErr w:type="spellStart"/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covered</w:t>
      </w:r>
      <w:proofErr w:type="spellEnd"/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any</w:t>
      </w:r>
      <w:proofErr w:type="spellEnd"/>
      <w:r w:rsidR="00FD7E95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RxNorm 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concept containing that ingredient</w:t>
      </w:r>
      <w:r w:rsidR="00FD7E95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with no additional attribute constraints, while the others underwent the above heuristic. </w:t>
      </w:r>
      <w:r w:rsidR="006F130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Unmapped codes </w:t>
      </w:r>
      <w:r w:rsidR="0097369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includ</w:t>
      </w:r>
      <w:r w:rsidR="006F130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</w:t>
      </w:r>
      <w:r w:rsidR="0097369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unapproved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ingredients in </w:t>
      </w:r>
      <w:r w:rsidR="0050089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the 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US</w:t>
      </w:r>
      <w:r w:rsidR="001542E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(e.g. </w:t>
      </w:r>
      <w:r w:rsidR="001542ED" w:rsidRPr="001542E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A08AA06 </w:t>
      </w:r>
      <w:proofErr w:type="spellStart"/>
      <w:r w:rsidR="001542ED" w:rsidRPr="001542E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etilamfetamin</w:t>
      </w:r>
      <w:r w:rsidR="001542E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</w:t>
      </w:r>
      <w:proofErr w:type="spellEnd"/>
      <w:r w:rsidR="001542E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combinations of ingredients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not marketed here</w:t>
      </w:r>
      <w:r w:rsidRPr="00AC53A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(e.g. </w:t>
      </w:r>
      <w:r w:rsidRPr="00B033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A10BD12 </w:t>
      </w:r>
      <w:proofErr w:type="spellStart"/>
      <w:r w:rsidRPr="00B033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pioglitazone</w:t>
      </w:r>
      <w:proofErr w:type="spellEnd"/>
      <w:r w:rsidRPr="00B033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B033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and</w:t>
      </w:r>
      <w:proofErr w:type="spellEnd"/>
      <w:r w:rsidRPr="00B033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B0337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sitagliptin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)</w:t>
      </w:r>
      <w:r w:rsidR="0097369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and ingredients with non-typical </w:t>
      </w:r>
      <w:r w:rsidR="0097369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ROA</w:t>
      </w:r>
      <w:r w:rsidR="006F130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(e.g.</w:t>
      </w:r>
      <w:r w:rsidR="00FD7E95" w:rsidRPr="00FD7E95">
        <w:t xml:space="preserve"> </w:t>
      </w:r>
      <w:r w:rsidR="00FD7E95" w:rsidRP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V10AA03 yttrium (90Y) silicate colloid</w:t>
      </w:r>
      <w:r w:rsidR="006F130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="007E1E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</w:t>
      </w:r>
      <w:r w:rsidR="00FD7E9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Looking from the RxNorm coverage</w:t>
      </w:r>
      <w:r w:rsidR="003869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28,133 out of a total of </w:t>
      </w:r>
      <w:r w:rsidR="003869EB" w:rsidRPr="003869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33</w:t>
      </w:r>
      <w:r w:rsidR="003869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="003869EB" w:rsidRPr="003869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903</w:t>
      </w:r>
      <w:r w:rsidR="003869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of Clinical Drugs (83%) have an ATC ancestor. That is up from the </w:t>
      </w:r>
      <w:r w:rsidR="003869E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de-DE"/>
        </w:rPr>
        <w:t>(</w:t>
      </w:r>
      <w:r w:rsidR="00CC4A1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27.7%</w:t>
      </w:r>
      <w:r w:rsidR="003869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  <w:r w:rsidR="00CC4A1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RxNorm coverage</w:t>
      </w:r>
      <w:r w:rsidR="007200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that </w:t>
      </w:r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National Library of Medicine </w:t>
      </w:r>
      <w:r w:rsidR="007200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cross</w:t>
      </w:r>
      <w:r w:rsidR="003869E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</w:t>
      </w:r>
      <w:r w:rsidR="007200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walks provide</w:t>
      </w:r>
      <w:r w:rsidR="00807F5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It includes not only </w:t>
      </w:r>
      <w:proofErr w:type="spellStart"/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monoingredient</w:t>
      </w:r>
      <w:proofErr w:type="spellEnd"/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drugs, but a</w:t>
      </w:r>
      <w:bookmarkStart w:id="0" w:name="_GoBack"/>
      <w:bookmarkEnd w:id="0"/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lso combinations and complicated and ambiguous groups of drugs such as vaccines and insulins. </w:t>
      </w:r>
      <w:r w:rsidR="007D576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Since ATC hierarchy is not comprehensive, we do not expect to cover all drugs, but </w:t>
      </w:r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our approach allows to automatically expand the mappings once ATC is updated.</w:t>
      </w:r>
    </w:p>
    <w:p w14:paraId="03040BC0" w14:textId="7E8E56EB" w:rsidR="00F747B1" w:rsidRDefault="00807F5D" w:rsidP="002355E0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We noticed </w:t>
      </w:r>
      <w:r w:rsidR="0081154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high level </w:t>
      </w:r>
      <w:r w:rsidR="00C2006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of variations in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mapping</w:t>
      </w:r>
      <w:r w:rsidR="00C2006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distribution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per ATC code</w:t>
      </w:r>
      <w:r w:rsidR="00C2006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 ranging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from </w:t>
      </w:r>
      <w:r w:rsidR="00C2006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2 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to 23</w:t>
      </w:r>
      <w:r w:rsidR="007200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499 drug</w:t>
      </w:r>
      <w:r w:rsidR="0017117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concepts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in RxNorm (average 443 concepts per </w:t>
      </w:r>
      <w:r w:rsidR="0017117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one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ATC code).</w:t>
      </w:r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F5A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Compared to the </w:t>
      </w:r>
      <w:bookmarkStart w:id="1" w:name="_Hlk12217912"/>
      <w:r w:rsidR="000F5A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NLM-provided cross</w:t>
      </w:r>
      <w:r w:rsidR="002355E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</w:t>
      </w:r>
      <w:r w:rsidR="000F5A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maps</w:t>
      </w:r>
      <w:bookmarkEnd w:id="1"/>
      <w:r w:rsidR="000F5A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our approach yielded 88% overlap</w:t>
      </w:r>
      <w:r w:rsidR="000871D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871D2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(Figure 1)</w:t>
      </w:r>
      <w:r w:rsidR="000871D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and</w:t>
      </w:r>
      <w:r w:rsidR="00F747B1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cover</w:t>
      </w:r>
      <w:r w:rsidR="00F747B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</w:t>
      </w:r>
      <w:r w:rsidR="00F747B1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371 additional concepts as we also processed multi-component drugs and combinations</w:t>
      </w:r>
      <w:r w:rsidR="00720099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2</w:t>
      </w:r>
      <w:r w:rsidR="00F747B1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4D438843" w14:textId="77777777" w:rsidR="000F5AB2" w:rsidRDefault="000F5AB2" w:rsidP="000F5AB2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32CF3F12" w14:textId="77777777" w:rsidR="00C17A1D" w:rsidRPr="00866899" w:rsidRDefault="00C26280" w:rsidP="00C17A1D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fldChar w:fldCharType="begin"/>
      </w:r>
      <w:r w:rsidR="00C17A1D"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instrText xml:space="preserve"> INCLUDEPICTURE "https://lh6.googleusercontent.com/H_yKpI6uqiYK0KgDYZSC7XG4PhVwRuFYDO_YvxBpqePQankU5n_yJHKPYOge1RDCtyDcEdpxrD-KlU9Ieclx92QozgKj9Xmqz5VfAgq2zIcFL-WODhmQB9wK3fw20hrvsY_yW9mDraEr0gfOvQ" \* MERGEFORMATINET </w:instrTex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fldChar w:fldCharType="separate"/>
      </w:r>
      <w:r w:rsidR="002044D4">
        <w:rPr>
          <w:rFonts w:ascii="Times New Roman" w:eastAsia="Times New Roman" w:hAnsi="Times New Roman" w:cs="Times New Roman"/>
          <w:bCs/>
          <w:noProof/>
          <w:color w:val="000000"/>
          <w:sz w:val="22"/>
          <w:szCs w:val="22"/>
        </w:rPr>
        <w:drawing>
          <wp:inline distT="0" distB="0" distL="0" distR="0" wp14:anchorId="165F1793" wp14:editId="59182FA7">
            <wp:extent cx="2825219" cy="1955800"/>
            <wp:effectExtent l="0" t="0" r="0" b="6350"/>
            <wp:docPr id="1" name="Picture 1" descr="https://lh4.googleusercontent.com/2pSFKjNVHc46fHYULYnxj1bZMgW6Yv8JpO3T-JM1lvUn6ob63l0mLpSIRQ8eTZuAzWbDil8Mjtsfexg3wLjCPE4Cf3svpcEtWkgD0r0ik508wDj13YQO34Oi8SS8Kqr5CXjNX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pSFKjNVHc46fHYULYnxj1bZMgW6Yv8JpO3T-JM1lvUn6ob63l0mLpSIRQ8eTZuAzWbDil8Mjtsfexg3wLjCPE4Cf3svpcEtWkgD0r0ik508wDj13YQO34Oi8SS8Kqr5CXjNX_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94" cy="19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fldChar w:fldCharType="end"/>
      </w:r>
    </w:p>
    <w:p w14:paraId="53B36004" w14:textId="77777777" w:rsidR="00C17A1D" w:rsidRPr="000871D2" w:rsidRDefault="00C26280" w:rsidP="00C17A1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6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Figure 1. The comparison of ATC-to-RxNorm mapping performance between the NLM-provided relationships and yielded from our approach.</w:t>
      </w:r>
    </w:p>
    <w:p w14:paraId="2377686D" w14:textId="77777777" w:rsidR="00807F5D" w:rsidRPr="00807F5D" w:rsidRDefault="00807F5D" w:rsidP="00807F5D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36EDD173" w14:textId="77777777" w:rsidR="00807F5D" w:rsidRPr="00807F5D" w:rsidRDefault="00807F5D" w:rsidP="00807F5D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Conclusion</w:t>
      </w:r>
    </w:p>
    <w:p w14:paraId="5C88F6ED" w14:textId="77777777" w:rsidR="00BA2F3A" w:rsidRPr="00807F5D" w:rsidRDefault="00807F5D" w:rsidP="00A13CFC">
      <w:pPr>
        <w:ind w:firstLine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Our </w:t>
      </w:r>
      <w:r w:rsidR="00BA2F3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semi-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automated mechanism preserves the correct mapping between ATC and drugs, but also maintains a semantically correct assignment of ingredients. This will allow</w:t>
      </w:r>
      <w:r w:rsidR="005A2AD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4498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OMOP vocabulary users to use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ATC as the standard classification system for </w:t>
      </w:r>
      <w:r w:rsidR="00A4498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drug products</w:t>
      </w: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. </w:t>
      </w:r>
      <w:r w:rsidR="00A4498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We </w:t>
      </w:r>
      <w:r w:rsidR="00B6131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are currently working on the mapping to extend the mapping to remaining ATC codes</w:t>
      </w:r>
      <w:r w:rsidR="00A26B6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E352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that will mostly cover </w:t>
      </w:r>
      <w:r w:rsidR="00E060A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indications</w:t>
      </w:r>
      <w:r w:rsidR="00A26B6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and </w:t>
      </w:r>
      <w:r w:rsidR="00776A0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non-therapeutic agents (e.g., media contrasts)</w:t>
      </w:r>
      <w:r w:rsidR="00B6131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0D75CD40" w14:textId="77777777" w:rsidR="00807F5D" w:rsidRPr="00807F5D" w:rsidRDefault="00807F5D" w:rsidP="00807F5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References </w:t>
      </w:r>
    </w:p>
    <w:p w14:paraId="7B4FB9FB" w14:textId="77777777" w:rsidR="00807F5D" w:rsidRPr="00807F5D" w:rsidRDefault="00807F5D" w:rsidP="00807F5D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3C9ED90E" w14:textId="77777777" w:rsidR="00807F5D" w:rsidRPr="00807F5D" w:rsidRDefault="00807F5D" w:rsidP="00D77C9D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 xml:space="preserve">1. </w:t>
      </w:r>
      <w:r w:rsidR="00D77C9D" w:rsidRPr="00D77C9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WHO Collaborating Centre for Drug Statistics Methodology, Guidelines for ATC classification and DDD assignment 2019. Oslo, Norway, 2018.</w:t>
      </w:r>
      <w:r w:rsidR="00D77C9D" w:rsidRPr="00D77C9D" w:rsidDel="00D77C9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34F9C621" w14:textId="77777777" w:rsidR="00807F5D" w:rsidRPr="00807F5D" w:rsidRDefault="00807F5D" w:rsidP="00807F5D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2. </w:t>
      </w:r>
      <w:proofErr w:type="spellStart"/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Bodenreider</w:t>
      </w:r>
      <w:proofErr w:type="spellEnd"/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O, Rodriguez LM. Analyzing U.S. prescription lists with RxNorm and the ATC/DDD Index. AMIA </w:t>
      </w:r>
      <w:proofErr w:type="spellStart"/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Annu</w:t>
      </w:r>
      <w:proofErr w:type="spellEnd"/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Symp</w:t>
      </w:r>
      <w:proofErr w:type="spellEnd"/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Proc. 2014;2014:297-306. Published 2014 Nov 14.</w:t>
      </w:r>
    </w:p>
    <w:p w14:paraId="6D32A3DF" w14:textId="77777777" w:rsidR="00A47502" w:rsidRPr="00807F5D" w:rsidRDefault="00807F5D" w:rsidP="003225D9">
      <w:pPr>
        <w:rPr>
          <w:rFonts w:ascii="Times New Roman" w:hAnsi="Times New Roman" w:cs="Times New Roman"/>
          <w:sz w:val="22"/>
          <w:szCs w:val="22"/>
        </w:rPr>
      </w:pPr>
      <w:r w:rsidRPr="00807F5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br/>
      </w:r>
    </w:p>
    <w:sectPr w:rsidR="00A47502" w:rsidRPr="00807F5D" w:rsidSect="00AB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F5D"/>
    <w:rsid w:val="00011F19"/>
    <w:rsid w:val="0001674D"/>
    <w:rsid w:val="00022A82"/>
    <w:rsid w:val="0003086D"/>
    <w:rsid w:val="0006313C"/>
    <w:rsid w:val="000871D2"/>
    <w:rsid w:val="000A333B"/>
    <w:rsid w:val="000B70B4"/>
    <w:rsid w:val="000C38ED"/>
    <w:rsid w:val="000F0C06"/>
    <w:rsid w:val="000F5AB2"/>
    <w:rsid w:val="000F7151"/>
    <w:rsid w:val="00101CE6"/>
    <w:rsid w:val="00107278"/>
    <w:rsid w:val="001218EF"/>
    <w:rsid w:val="0012587C"/>
    <w:rsid w:val="001308B1"/>
    <w:rsid w:val="00132F59"/>
    <w:rsid w:val="00136BB7"/>
    <w:rsid w:val="001415CA"/>
    <w:rsid w:val="00143EA8"/>
    <w:rsid w:val="001542ED"/>
    <w:rsid w:val="00167BB9"/>
    <w:rsid w:val="00171177"/>
    <w:rsid w:val="001750C4"/>
    <w:rsid w:val="0017732C"/>
    <w:rsid w:val="00183BD2"/>
    <w:rsid w:val="001847F1"/>
    <w:rsid w:val="00184991"/>
    <w:rsid w:val="001A18EB"/>
    <w:rsid w:val="001D04B8"/>
    <w:rsid w:val="001D1BA2"/>
    <w:rsid w:val="001E3DD1"/>
    <w:rsid w:val="001E771D"/>
    <w:rsid w:val="001E7F3C"/>
    <w:rsid w:val="002044D4"/>
    <w:rsid w:val="00204A53"/>
    <w:rsid w:val="00206005"/>
    <w:rsid w:val="00221017"/>
    <w:rsid w:val="002232D3"/>
    <w:rsid w:val="002355E0"/>
    <w:rsid w:val="002447FE"/>
    <w:rsid w:val="00253105"/>
    <w:rsid w:val="0026393F"/>
    <w:rsid w:val="00270446"/>
    <w:rsid w:val="0028253A"/>
    <w:rsid w:val="002B0CFC"/>
    <w:rsid w:val="002C4616"/>
    <w:rsid w:val="002D2312"/>
    <w:rsid w:val="002E2A08"/>
    <w:rsid w:val="002E47D8"/>
    <w:rsid w:val="002F08BB"/>
    <w:rsid w:val="003225D9"/>
    <w:rsid w:val="0032561B"/>
    <w:rsid w:val="00326A90"/>
    <w:rsid w:val="003311E2"/>
    <w:rsid w:val="00342984"/>
    <w:rsid w:val="003439FB"/>
    <w:rsid w:val="00364E9F"/>
    <w:rsid w:val="00380401"/>
    <w:rsid w:val="003869EB"/>
    <w:rsid w:val="00392BC1"/>
    <w:rsid w:val="003B043E"/>
    <w:rsid w:val="003B3068"/>
    <w:rsid w:val="003B4714"/>
    <w:rsid w:val="003B7181"/>
    <w:rsid w:val="003E5F01"/>
    <w:rsid w:val="0041245C"/>
    <w:rsid w:val="00422DF0"/>
    <w:rsid w:val="00441B2C"/>
    <w:rsid w:val="004425D8"/>
    <w:rsid w:val="00443C0B"/>
    <w:rsid w:val="00451451"/>
    <w:rsid w:val="00456549"/>
    <w:rsid w:val="00460DA1"/>
    <w:rsid w:val="004623DF"/>
    <w:rsid w:val="00466DD7"/>
    <w:rsid w:val="004724A2"/>
    <w:rsid w:val="0047380F"/>
    <w:rsid w:val="00484EF3"/>
    <w:rsid w:val="004876F5"/>
    <w:rsid w:val="0049210A"/>
    <w:rsid w:val="004969BF"/>
    <w:rsid w:val="0049754E"/>
    <w:rsid w:val="004A25BA"/>
    <w:rsid w:val="004C591A"/>
    <w:rsid w:val="0050089C"/>
    <w:rsid w:val="00524111"/>
    <w:rsid w:val="00524E50"/>
    <w:rsid w:val="00525E32"/>
    <w:rsid w:val="00543450"/>
    <w:rsid w:val="00544D04"/>
    <w:rsid w:val="00550530"/>
    <w:rsid w:val="005A2AD8"/>
    <w:rsid w:val="005C219B"/>
    <w:rsid w:val="005C3EBC"/>
    <w:rsid w:val="005D5D4D"/>
    <w:rsid w:val="005E1B23"/>
    <w:rsid w:val="00604DAB"/>
    <w:rsid w:val="00622DD6"/>
    <w:rsid w:val="006319BC"/>
    <w:rsid w:val="006428D5"/>
    <w:rsid w:val="00643B57"/>
    <w:rsid w:val="0064668E"/>
    <w:rsid w:val="00665B33"/>
    <w:rsid w:val="00673547"/>
    <w:rsid w:val="0067742D"/>
    <w:rsid w:val="0069623B"/>
    <w:rsid w:val="00696307"/>
    <w:rsid w:val="00696A99"/>
    <w:rsid w:val="006A5AB9"/>
    <w:rsid w:val="006D272A"/>
    <w:rsid w:val="006E0639"/>
    <w:rsid w:val="006E513A"/>
    <w:rsid w:val="006F1301"/>
    <w:rsid w:val="00702D06"/>
    <w:rsid w:val="00707630"/>
    <w:rsid w:val="007111CF"/>
    <w:rsid w:val="00720099"/>
    <w:rsid w:val="00730D44"/>
    <w:rsid w:val="0074607C"/>
    <w:rsid w:val="0075628D"/>
    <w:rsid w:val="007633ED"/>
    <w:rsid w:val="00776700"/>
    <w:rsid w:val="00776A07"/>
    <w:rsid w:val="0079624C"/>
    <w:rsid w:val="007A1DDB"/>
    <w:rsid w:val="007A715B"/>
    <w:rsid w:val="007C63A3"/>
    <w:rsid w:val="007D5763"/>
    <w:rsid w:val="007E1A31"/>
    <w:rsid w:val="007E1E18"/>
    <w:rsid w:val="00806F91"/>
    <w:rsid w:val="00807F5D"/>
    <w:rsid w:val="00811544"/>
    <w:rsid w:val="00812C99"/>
    <w:rsid w:val="00817279"/>
    <w:rsid w:val="00817D9F"/>
    <w:rsid w:val="00820B7A"/>
    <w:rsid w:val="00827B93"/>
    <w:rsid w:val="0083514D"/>
    <w:rsid w:val="00840379"/>
    <w:rsid w:val="00856F07"/>
    <w:rsid w:val="00861E29"/>
    <w:rsid w:val="00866899"/>
    <w:rsid w:val="0089090B"/>
    <w:rsid w:val="00890F85"/>
    <w:rsid w:val="008965E8"/>
    <w:rsid w:val="008969D4"/>
    <w:rsid w:val="008B01DF"/>
    <w:rsid w:val="008D2F77"/>
    <w:rsid w:val="008F17F8"/>
    <w:rsid w:val="008F2716"/>
    <w:rsid w:val="008F42E3"/>
    <w:rsid w:val="00914FA9"/>
    <w:rsid w:val="00921BDE"/>
    <w:rsid w:val="009404A6"/>
    <w:rsid w:val="00942EB3"/>
    <w:rsid w:val="00951900"/>
    <w:rsid w:val="009603A6"/>
    <w:rsid w:val="00963E14"/>
    <w:rsid w:val="00973697"/>
    <w:rsid w:val="00981497"/>
    <w:rsid w:val="009946A1"/>
    <w:rsid w:val="00994D52"/>
    <w:rsid w:val="009B73ED"/>
    <w:rsid w:val="009D318B"/>
    <w:rsid w:val="009F2F56"/>
    <w:rsid w:val="009F33A7"/>
    <w:rsid w:val="009F37D3"/>
    <w:rsid w:val="00A10B45"/>
    <w:rsid w:val="00A13376"/>
    <w:rsid w:val="00A13CFC"/>
    <w:rsid w:val="00A15634"/>
    <w:rsid w:val="00A25CE1"/>
    <w:rsid w:val="00A26B6A"/>
    <w:rsid w:val="00A35DC5"/>
    <w:rsid w:val="00A36DD3"/>
    <w:rsid w:val="00A36EA0"/>
    <w:rsid w:val="00A372A7"/>
    <w:rsid w:val="00A41E34"/>
    <w:rsid w:val="00A44986"/>
    <w:rsid w:val="00A47159"/>
    <w:rsid w:val="00A6790C"/>
    <w:rsid w:val="00A723A3"/>
    <w:rsid w:val="00A755D2"/>
    <w:rsid w:val="00A83ED7"/>
    <w:rsid w:val="00A942EE"/>
    <w:rsid w:val="00AA7471"/>
    <w:rsid w:val="00AB7174"/>
    <w:rsid w:val="00AC4CA3"/>
    <w:rsid w:val="00AC53A5"/>
    <w:rsid w:val="00AD2BDA"/>
    <w:rsid w:val="00AD74C9"/>
    <w:rsid w:val="00AE5F0A"/>
    <w:rsid w:val="00B0337C"/>
    <w:rsid w:val="00B050B2"/>
    <w:rsid w:val="00B0784D"/>
    <w:rsid w:val="00B150FB"/>
    <w:rsid w:val="00B1781A"/>
    <w:rsid w:val="00B3027F"/>
    <w:rsid w:val="00B36959"/>
    <w:rsid w:val="00B608D6"/>
    <w:rsid w:val="00B6131E"/>
    <w:rsid w:val="00B6177E"/>
    <w:rsid w:val="00B74D39"/>
    <w:rsid w:val="00B74D6D"/>
    <w:rsid w:val="00B75DCD"/>
    <w:rsid w:val="00B82756"/>
    <w:rsid w:val="00B87729"/>
    <w:rsid w:val="00BA2F3A"/>
    <w:rsid w:val="00BA68D2"/>
    <w:rsid w:val="00BB7179"/>
    <w:rsid w:val="00BE063D"/>
    <w:rsid w:val="00BE352E"/>
    <w:rsid w:val="00BF17C8"/>
    <w:rsid w:val="00C03562"/>
    <w:rsid w:val="00C10FBD"/>
    <w:rsid w:val="00C14FED"/>
    <w:rsid w:val="00C17A1D"/>
    <w:rsid w:val="00C2006F"/>
    <w:rsid w:val="00C26280"/>
    <w:rsid w:val="00C44CB3"/>
    <w:rsid w:val="00C477E0"/>
    <w:rsid w:val="00C53C79"/>
    <w:rsid w:val="00C54E31"/>
    <w:rsid w:val="00C6070D"/>
    <w:rsid w:val="00C768D7"/>
    <w:rsid w:val="00C8368E"/>
    <w:rsid w:val="00C85E9A"/>
    <w:rsid w:val="00C87B22"/>
    <w:rsid w:val="00C92A02"/>
    <w:rsid w:val="00CB12F7"/>
    <w:rsid w:val="00CB404E"/>
    <w:rsid w:val="00CC3755"/>
    <w:rsid w:val="00CC4A1B"/>
    <w:rsid w:val="00CF00F8"/>
    <w:rsid w:val="00D1083F"/>
    <w:rsid w:val="00D3151A"/>
    <w:rsid w:val="00D51CB1"/>
    <w:rsid w:val="00D60E0A"/>
    <w:rsid w:val="00D77C9D"/>
    <w:rsid w:val="00DB53D7"/>
    <w:rsid w:val="00DB5ABA"/>
    <w:rsid w:val="00DC65B8"/>
    <w:rsid w:val="00DD3A72"/>
    <w:rsid w:val="00DD7352"/>
    <w:rsid w:val="00DF1FF4"/>
    <w:rsid w:val="00E01BF1"/>
    <w:rsid w:val="00E049C1"/>
    <w:rsid w:val="00E060A8"/>
    <w:rsid w:val="00E10041"/>
    <w:rsid w:val="00E23881"/>
    <w:rsid w:val="00E27EB6"/>
    <w:rsid w:val="00E46FA8"/>
    <w:rsid w:val="00E51980"/>
    <w:rsid w:val="00E701F5"/>
    <w:rsid w:val="00E70F9E"/>
    <w:rsid w:val="00E76C3A"/>
    <w:rsid w:val="00E83383"/>
    <w:rsid w:val="00E877C4"/>
    <w:rsid w:val="00E90F6C"/>
    <w:rsid w:val="00E96E67"/>
    <w:rsid w:val="00EB5326"/>
    <w:rsid w:val="00EB7C8D"/>
    <w:rsid w:val="00EC2D3C"/>
    <w:rsid w:val="00EC7EAE"/>
    <w:rsid w:val="00ED3F48"/>
    <w:rsid w:val="00F01DF8"/>
    <w:rsid w:val="00F06ABC"/>
    <w:rsid w:val="00F10D68"/>
    <w:rsid w:val="00F5147C"/>
    <w:rsid w:val="00F54297"/>
    <w:rsid w:val="00F55629"/>
    <w:rsid w:val="00F62CAC"/>
    <w:rsid w:val="00F72F37"/>
    <w:rsid w:val="00F73EC9"/>
    <w:rsid w:val="00F747B1"/>
    <w:rsid w:val="00F80B1E"/>
    <w:rsid w:val="00F863D7"/>
    <w:rsid w:val="00F9297E"/>
    <w:rsid w:val="00F933DB"/>
    <w:rsid w:val="00FA5489"/>
    <w:rsid w:val="00FA7B12"/>
    <w:rsid w:val="00FA7F75"/>
    <w:rsid w:val="00FD7E9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C568"/>
  <w15:docId w15:val="{F440DE32-D03E-6C46-80AE-31F04798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2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F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7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5D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F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E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AA1E-703E-5E4A-99A9-86B428A4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Ostropolets, Anna</dc:creator>
  <cp:lastModifiedBy>Ostropolets, Anna</cp:lastModifiedBy>
  <cp:revision>17</cp:revision>
  <dcterms:created xsi:type="dcterms:W3CDTF">2019-06-24T15:30:00Z</dcterms:created>
  <dcterms:modified xsi:type="dcterms:W3CDTF">2019-09-12T20:52:00Z</dcterms:modified>
</cp:coreProperties>
</file>