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6DB42" w14:textId="77777777" w:rsidR="00B10AF6" w:rsidRDefault="00B10AF6" w:rsidP="00B10AF6">
      <w:pPr>
        <w:jc w:val="center"/>
        <w:rPr>
          <w:rFonts w:ascii="Arial" w:eastAsia="Calibri" w:hAnsi="Arial" w:cs="Arial"/>
          <w:b/>
          <w:sz w:val="28"/>
        </w:rPr>
      </w:pPr>
      <w:bookmarkStart w:id="0" w:name="_GoBack"/>
      <w:bookmarkEnd w:id="0"/>
      <w:r w:rsidRPr="00B10AF6">
        <w:rPr>
          <w:rFonts w:ascii="Arial" w:eastAsia="Calibri" w:hAnsi="Arial" w:cs="Arial"/>
          <w:b/>
          <w:sz w:val="28"/>
        </w:rPr>
        <w:t>Simulacra and Simulation</w:t>
      </w:r>
      <w:r>
        <w:rPr>
          <w:rFonts w:ascii="Arial" w:eastAsia="Calibri" w:hAnsi="Arial" w:cs="Arial"/>
          <w:b/>
          <w:sz w:val="28"/>
        </w:rPr>
        <w:t xml:space="preserve">: </w:t>
      </w:r>
      <w:r w:rsidRPr="00B10AF6">
        <w:rPr>
          <w:rFonts w:ascii="Arial" w:eastAsia="Calibri" w:hAnsi="Arial" w:cs="Arial"/>
          <w:b/>
          <w:sz w:val="28"/>
        </w:rPr>
        <w:t>How simulated data can enable OHDSI application development, methods research, and user adoption.</w:t>
      </w:r>
    </w:p>
    <w:p w14:paraId="46A65D99" w14:textId="77777777" w:rsidR="00B10AF6" w:rsidRPr="00B10AF6" w:rsidRDefault="00B10AF6" w:rsidP="00B10AF6">
      <w:pPr>
        <w:jc w:val="center"/>
        <w:rPr>
          <w:rFonts w:ascii="Arial" w:eastAsia="Calibri" w:hAnsi="Arial" w:cs="Arial"/>
          <w:b/>
          <w:sz w:val="16"/>
          <w:szCs w:val="16"/>
        </w:rPr>
      </w:pPr>
    </w:p>
    <w:p w14:paraId="7761A2A0" w14:textId="77777777" w:rsidR="00B10AF6" w:rsidRPr="00B10AF6" w:rsidRDefault="00B10AF6" w:rsidP="00B10AF6">
      <w:pPr>
        <w:jc w:val="center"/>
        <w:rPr>
          <w:rFonts w:ascii="Arial" w:eastAsia="Calibri" w:hAnsi="Arial" w:cs="Arial"/>
          <w:b/>
          <w:color w:val="000000" w:themeColor="text1"/>
          <w:sz w:val="22"/>
        </w:rPr>
      </w:pPr>
      <w:r w:rsidRPr="00B10AF6">
        <w:rPr>
          <w:rFonts w:ascii="Arial" w:eastAsia="Calibri" w:hAnsi="Arial" w:cs="Arial"/>
          <w:b/>
          <w:color w:val="000000" w:themeColor="text1"/>
          <w:sz w:val="22"/>
        </w:rPr>
        <w:t>Frank J. DeFalco</w:t>
      </w: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Clair Blacketer</w:t>
      </w: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Anthony Molinaro</w:t>
      </w: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James Wiggins</w:t>
      </w:r>
      <w:r w:rsidRPr="00B10AF6">
        <w:rPr>
          <w:rFonts w:ascii="Arial" w:eastAsia="Calibri" w:hAnsi="Arial" w:cs="Arial"/>
          <w:b/>
          <w:color w:val="000000" w:themeColor="text1"/>
          <w:sz w:val="22"/>
          <w:vertAlign w:val="superscript"/>
        </w:rPr>
        <w:t>2</w:t>
      </w:r>
    </w:p>
    <w:p w14:paraId="77A8D17A" w14:textId="77777777" w:rsidR="00B10AF6" w:rsidRPr="00B10AF6" w:rsidRDefault="00B10AF6" w:rsidP="00B10AF6">
      <w:pPr>
        <w:jc w:val="center"/>
        <w:rPr>
          <w:rFonts w:ascii="Arial" w:eastAsia="Calibri" w:hAnsi="Arial" w:cs="Arial"/>
          <w:b/>
          <w:color w:val="000000" w:themeColor="text1"/>
          <w:sz w:val="22"/>
        </w:rPr>
        <w:sectPr w:rsidR="00B10AF6" w:rsidRPr="00B10AF6" w:rsidSect="00521296">
          <w:footerReference w:type="default" r:id="rId7"/>
          <w:pgSz w:w="12240" w:h="15840"/>
          <w:pgMar w:top="720" w:right="720" w:bottom="720" w:left="720" w:header="0" w:footer="720" w:gutter="0"/>
          <w:pgNumType w:start="1"/>
          <w:cols w:space="720"/>
        </w:sectPr>
      </w:pPr>
      <w:r w:rsidRPr="00B10AF6">
        <w:rPr>
          <w:rFonts w:ascii="Arial" w:eastAsia="Calibri" w:hAnsi="Arial" w:cs="Arial"/>
          <w:b/>
          <w:color w:val="000000" w:themeColor="text1"/>
          <w:sz w:val="22"/>
          <w:vertAlign w:val="superscript"/>
        </w:rPr>
        <w:t>1</w:t>
      </w:r>
      <w:r w:rsidRPr="00B10AF6">
        <w:rPr>
          <w:rFonts w:ascii="Arial" w:eastAsia="Calibri" w:hAnsi="Arial" w:cs="Arial"/>
          <w:b/>
          <w:color w:val="000000" w:themeColor="text1"/>
          <w:sz w:val="22"/>
        </w:rPr>
        <w:t xml:space="preserve">Janssen Research &amp; Development, Raritan, NJ; </w:t>
      </w:r>
      <w:r w:rsidRPr="00B10AF6">
        <w:rPr>
          <w:rFonts w:ascii="Arial" w:eastAsia="Calibri" w:hAnsi="Arial" w:cs="Arial"/>
          <w:b/>
          <w:color w:val="000000" w:themeColor="text1"/>
          <w:sz w:val="22"/>
          <w:vertAlign w:val="superscript"/>
        </w:rPr>
        <w:t>2</w:t>
      </w:r>
      <w:r w:rsidRPr="00B10AF6">
        <w:rPr>
          <w:rFonts w:ascii="Arial" w:eastAsia="Calibri" w:hAnsi="Arial" w:cs="Arial"/>
          <w:b/>
          <w:color w:val="000000" w:themeColor="text1"/>
          <w:sz w:val="22"/>
        </w:rPr>
        <w:t>Amazon, Seattle, WA</w:t>
      </w:r>
    </w:p>
    <w:p w14:paraId="2279312E" w14:textId="77777777" w:rsidR="00B10AF6" w:rsidRPr="00B10AF6" w:rsidRDefault="00B10AF6" w:rsidP="00B10AF6">
      <w:pPr>
        <w:rPr>
          <w:rFonts w:ascii="Arial" w:hAnsi="Arial" w:cs="Arial"/>
          <w:bCs/>
        </w:rPr>
      </w:pPr>
    </w:p>
    <w:p w14:paraId="1E606EEE" w14:textId="77777777" w:rsidR="00B10AF6" w:rsidRPr="00B10AF6" w:rsidRDefault="00B10AF6" w:rsidP="00B10AF6">
      <w:pPr>
        <w:rPr>
          <w:rFonts w:ascii="Arial" w:hAnsi="Arial" w:cs="Arial"/>
          <w:sz w:val="22"/>
          <w:szCs w:val="22"/>
        </w:rPr>
      </w:pPr>
      <w:r w:rsidRPr="00B10AF6">
        <w:rPr>
          <w:rFonts w:ascii="Arial" w:hAnsi="Arial" w:cs="Arial"/>
          <w:bCs/>
          <w:sz w:val="22"/>
          <w:szCs w:val="22"/>
        </w:rPr>
        <w:t>Is this the first time you have submitted your work to be displayed at any OHDSI Symposium?</w:t>
      </w:r>
    </w:p>
    <w:p w14:paraId="748C634B" w14:textId="77777777" w:rsidR="00B10AF6" w:rsidRPr="00B10AF6" w:rsidRDefault="00B10AF6" w:rsidP="00B10AF6">
      <w:pPr>
        <w:rPr>
          <w:rFonts w:ascii="Arial" w:hAnsi="Arial" w:cs="Arial"/>
          <w:sz w:val="22"/>
          <w:szCs w:val="22"/>
        </w:rPr>
      </w:pPr>
      <w:r w:rsidRPr="00B10AF6">
        <w:rPr>
          <w:rFonts w:ascii="Arial" w:hAnsi="Arial" w:cs="Arial"/>
          <w:bCs/>
          <w:sz w:val="22"/>
          <w:szCs w:val="22"/>
        </w:rPr>
        <w:t xml:space="preserve"> Yes  _____  No___X___</w:t>
      </w:r>
    </w:p>
    <w:p w14:paraId="48CA3559" w14:textId="77777777" w:rsidR="00B10AF6" w:rsidRPr="00B10AF6" w:rsidRDefault="00B10AF6" w:rsidP="00B10AF6">
      <w:pPr>
        <w:rPr>
          <w:rFonts w:ascii="Arial" w:eastAsia="Calibri" w:hAnsi="Arial" w:cs="Arial"/>
          <w:bCs/>
          <w:sz w:val="22"/>
          <w:szCs w:val="22"/>
        </w:rPr>
      </w:pPr>
    </w:p>
    <w:p w14:paraId="106D6FFA" w14:textId="77777777" w:rsidR="00B10AF6" w:rsidRDefault="00B10AF6" w:rsidP="002C47AE">
      <w:pPr>
        <w:spacing w:line="276" w:lineRule="auto"/>
        <w:rPr>
          <w:rFonts w:ascii="Arial" w:eastAsia="Calibri" w:hAnsi="Arial" w:cs="Arial"/>
          <w:b/>
          <w:bCs/>
          <w:sz w:val="22"/>
          <w:szCs w:val="22"/>
        </w:rPr>
      </w:pPr>
      <w:r w:rsidRPr="00B10AF6">
        <w:rPr>
          <w:rFonts w:ascii="Arial" w:eastAsia="Calibri" w:hAnsi="Arial" w:cs="Arial"/>
          <w:b/>
          <w:bCs/>
          <w:sz w:val="22"/>
          <w:szCs w:val="22"/>
        </w:rPr>
        <w:t>Abstract</w:t>
      </w:r>
    </w:p>
    <w:p w14:paraId="516D78BA" w14:textId="1614D0AB" w:rsidR="00B10AF6" w:rsidRPr="00B10AF6" w:rsidRDefault="00B10AF6" w:rsidP="002C47AE">
      <w:pPr>
        <w:spacing w:line="276" w:lineRule="auto"/>
        <w:rPr>
          <w:rFonts w:ascii="Arial" w:eastAsia="Calibri" w:hAnsi="Arial" w:cs="Arial"/>
          <w:color w:val="000000" w:themeColor="text1"/>
          <w:sz w:val="22"/>
          <w:szCs w:val="22"/>
        </w:rPr>
      </w:pPr>
      <w:r w:rsidRPr="00B10AF6">
        <w:rPr>
          <w:rFonts w:ascii="Arial" w:eastAsia="Calibri" w:hAnsi="Arial" w:cs="Arial"/>
          <w:sz w:val="22"/>
          <w:szCs w:val="22"/>
        </w:rPr>
        <w:t>The lack of open source, representative, patient level health data can make it challenging for OHDSI community members to perform application development, methods research and provide opportunities for training and adoption.  We address this issue by leveraging Synthea</w:t>
      </w:r>
      <w:r w:rsidR="000E1272">
        <w:rPr>
          <w:rFonts w:ascii="Arial" w:eastAsia="Calibri" w:hAnsi="Arial" w:cs="Arial"/>
          <w:sz w:val="22"/>
          <w:szCs w:val="22"/>
        </w:rPr>
        <w:fldChar w:fldCharType="begin"/>
      </w:r>
      <w:r w:rsidR="000E1272">
        <w:rPr>
          <w:rFonts w:ascii="Arial" w:eastAsia="Calibri" w:hAnsi="Arial" w:cs="Arial"/>
          <w:sz w:val="22"/>
          <w:szCs w:val="22"/>
        </w:rPr>
        <w:instrText xml:space="preserve"> ADDIN EN.CITE &lt;EndNote&gt;&lt;Cite&gt;&lt;Author&gt;Walonoski&lt;/Author&gt;&lt;Year&gt;2017&lt;/Year&gt;&lt;RecNum&gt;3&lt;/RecNum&gt;&lt;DisplayText&gt;(1)&lt;/DisplayText&gt;&lt;record&gt;&lt;rec-number&gt;3&lt;/rec-number&gt;&lt;foreign-keys&gt;&lt;key app="EN" db-id="wa29eap2fxs2ene5xscvevxw9t9d9xzrx9t2" timestamp="1559936408"&gt;3&lt;/key&gt;&lt;/foreign-keys&gt;&lt;ref-type name="Journal Article"&gt;17&lt;/ref-type&gt;&lt;contributors&gt;&lt;authors&gt;&lt;author&gt;Walonoski, Jason&lt;/author&gt;&lt;author&gt;Kramer, Mark&lt;/author&gt;&lt;author&gt;Nichols, Joseph&lt;/author&gt;&lt;author&gt;Quina, Andre&lt;/author&gt;&lt;author&gt;Moesel, Chris&lt;/author&gt;&lt;author&gt;Hall, Dylan&lt;/author&gt;&lt;author&gt;Duffett, Carlton&lt;/author&gt;&lt;author&gt;Dube, Kudakwashe&lt;/author&gt;&lt;author&gt;Gallagher, Thomas&lt;/author&gt;&lt;author&gt;McLachlan, Scott&lt;/author&gt;&lt;/authors&gt;&lt;/contributors&gt;&lt;titles&gt;&lt;title&gt;Synthea: An approach, method, and software mechanism for generating synthetic patients and the synthetic electronic health care record&lt;/title&gt;&lt;secondary-title&gt;Journal of the American Medical Informatics Association&lt;/secondary-title&gt;&lt;/titles&gt;&lt;periodical&gt;&lt;full-title&gt;Journal of the American Medical Informatics Association&lt;/full-title&gt;&lt;/periodical&gt;&lt;pages&gt;230-238&lt;/pages&gt;&lt;volume&gt;25&lt;/volume&gt;&lt;number&gt;3&lt;/number&gt;&lt;dates&gt;&lt;year&gt;2017&lt;/year&gt;&lt;/dates&gt;&lt;isbn&gt;1527-974X&lt;/isbn&gt;&lt;urls&gt;&lt;related-urls&gt;&lt;url&gt;https://doi.org/10.1093/jamia/ocx079&lt;/url&gt;&lt;/related-urls&gt;&lt;/urls&gt;&lt;electronic-resource-num&gt;10.1093/jamia/ocx079&lt;/electronic-resource-num&gt;&lt;access-date&gt;6/7/2019&lt;/access-date&gt;&lt;/record&gt;&lt;/Cite&gt;&lt;/EndNote&gt;</w:instrText>
      </w:r>
      <w:r w:rsidR="000E1272">
        <w:rPr>
          <w:rFonts w:ascii="Arial" w:eastAsia="Calibri" w:hAnsi="Arial" w:cs="Arial"/>
          <w:sz w:val="22"/>
          <w:szCs w:val="22"/>
        </w:rPr>
        <w:fldChar w:fldCharType="separate"/>
      </w:r>
      <w:r w:rsidR="000E1272">
        <w:rPr>
          <w:rFonts w:ascii="Arial" w:eastAsia="Calibri" w:hAnsi="Arial" w:cs="Arial"/>
          <w:noProof/>
          <w:sz w:val="22"/>
          <w:szCs w:val="22"/>
        </w:rPr>
        <w:t>(1)</w:t>
      </w:r>
      <w:r w:rsidR="000E1272">
        <w:rPr>
          <w:rFonts w:ascii="Arial" w:eastAsia="Calibri" w:hAnsi="Arial" w:cs="Arial"/>
          <w:sz w:val="22"/>
          <w:szCs w:val="22"/>
        </w:rPr>
        <w:fldChar w:fldCharType="end"/>
      </w:r>
      <w:r w:rsidRPr="00B10AF6">
        <w:rPr>
          <w:rFonts w:ascii="Arial" w:eastAsia="Calibri" w:hAnsi="Arial" w:cs="Arial"/>
          <w:sz w:val="22"/>
          <w:szCs w:val="22"/>
        </w:rPr>
        <w:t xml:space="preserve"> to generate simulated patients and episodes of care and then convert the Synthea data format to the OMOP common data model (CDM)</w:t>
      </w:r>
      <w:r w:rsidRPr="00B10AF6">
        <w:rPr>
          <w:rFonts w:ascii="Arial" w:eastAsia="Calibri" w:hAnsi="Arial" w:cs="Arial"/>
          <w:sz w:val="22"/>
          <w:szCs w:val="22"/>
          <w:shd w:val="clear" w:color="auto" w:fill="FFFFFF"/>
        </w:rPr>
        <w:t xml:space="preserve"> </w:t>
      </w:r>
      <w:r w:rsidRPr="00B10AF6">
        <w:rPr>
          <w:rStyle w:val="normaltextrun"/>
          <w:rFonts w:ascii="Arial" w:hAnsi="Arial" w:cs="Arial"/>
          <w:color w:val="000000"/>
          <w:sz w:val="22"/>
          <w:szCs w:val="22"/>
          <w:shd w:val="clear" w:color="auto" w:fill="FFFFFF"/>
        </w:rPr>
        <w:t xml:space="preserve">using </w:t>
      </w:r>
      <w:r w:rsidR="0065654B">
        <w:rPr>
          <w:rStyle w:val="normaltextrun"/>
          <w:rFonts w:ascii="Arial" w:hAnsi="Arial" w:cs="Arial"/>
          <w:color w:val="000000"/>
          <w:sz w:val="22"/>
          <w:szCs w:val="22"/>
          <w:shd w:val="clear" w:color="auto" w:fill="FFFFFF"/>
        </w:rPr>
        <w:t>the</w:t>
      </w:r>
      <w:r w:rsidRPr="00B10AF6">
        <w:rPr>
          <w:rStyle w:val="normaltextrun"/>
          <w:rFonts w:ascii="Arial" w:hAnsi="Arial" w:cs="Arial"/>
          <w:color w:val="000000"/>
          <w:sz w:val="22"/>
          <w:szCs w:val="22"/>
          <w:shd w:val="clear" w:color="auto" w:fill="FFFFFF"/>
        </w:rPr>
        <w:t xml:space="preserve"> newly developed </w:t>
      </w:r>
      <w:r w:rsidR="0065654B">
        <w:rPr>
          <w:rStyle w:val="normaltextrun"/>
          <w:rFonts w:ascii="Arial" w:hAnsi="Arial" w:cs="Arial"/>
          <w:color w:val="000000"/>
          <w:sz w:val="22"/>
          <w:szCs w:val="22"/>
          <w:shd w:val="clear" w:color="auto" w:fill="FFFFFF"/>
        </w:rPr>
        <w:t xml:space="preserve">ETL </w:t>
      </w:r>
      <w:r w:rsidR="00D273B5">
        <w:rPr>
          <w:rStyle w:val="normaltextrun"/>
          <w:rFonts w:ascii="Arial" w:hAnsi="Arial" w:cs="Arial"/>
          <w:color w:val="000000"/>
          <w:sz w:val="22"/>
          <w:szCs w:val="22"/>
          <w:shd w:val="clear" w:color="auto" w:fill="FFFFFF"/>
        </w:rPr>
        <w:t xml:space="preserve">Synthea </w:t>
      </w:r>
      <w:r w:rsidR="0065654B">
        <w:rPr>
          <w:rStyle w:val="normaltextrun"/>
          <w:rFonts w:ascii="Arial" w:hAnsi="Arial" w:cs="Arial"/>
          <w:color w:val="000000"/>
          <w:sz w:val="22"/>
          <w:szCs w:val="22"/>
          <w:shd w:val="clear" w:color="auto" w:fill="FFFFFF"/>
        </w:rPr>
        <w:t xml:space="preserve">Builder </w:t>
      </w:r>
      <w:r w:rsidRPr="00B10AF6">
        <w:rPr>
          <w:rStyle w:val="normaltextrun"/>
          <w:rFonts w:ascii="Arial" w:hAnsi="Arial" w:cs="Arial"/>
          <w:color w:val="000000"/>
          <w:sz w:val="22"/>
          <w:szCs w:val="22"/>
          <w:shd w:val="clear" w:color="auto" w:fill="FFFFFF"/>
        </w:rPr>
        <w:t>package</w:t>
      </w:r>
      <w:r w:rsidR="0065654B">
        <w:rPr>
          <w:rStyle w:val="normaltextrun"/>
          <w:rFonts w:ascii="Arial" w:hAnsi="Arial" w:cs="Arial"/>
          <w:color w:val="000000"/>
          <w:sz w:val="22"/>
          <w:szCs w:val="22"/>
          <w:shd w:val="clear" w:color="auto" w:fill="FFFFFF"/>
        </w:rPr>
        <w:fldChar w:fldCharType="begin"/>
      </w:r>
      <w:r w:rsidR="00335379">
        <w:rPr>
          <w:rStyle w:val="normaltextrun"/>
          <w:rFonts w:ascii="Arial" w:hAnsi="Arial" w:cs="Arial"/>
          <w:color w:val="000000"/>
          <w:sz w:val="22"/>
          <w:szCs w:val="22"/>
          <w:shd w:val="clear" w:color="auto" w:fill="FFFFFF"/>
        </w:rPr>
        <w:instrText xml:space="preserve"> ADDIN EN.CITE &lt;EndNote&gt;&lt;Cite&gt;&lt;Author&gt;Blacketer&lt;/Author&gt;&lt;Year&gt;2019&lt;/Year&gt;&lt;RecNum&gt;6&lt;/RecNum&gt;&lt;DisplayText&gt;(2)&lt;/DisplayText&gt;&lt;record&gt;&lt;rec-number&gt;6&lt;/rec-number&gt;&lt;foreign-keys&gt;&lt;key app="EN" db-id="wa29eap2fxs2ene5xscvevxw9t9d9xzrx9t2" timestamp="1559937015"&gt;6&lt;/key&gt;&lt;/foreign-keys&gt;&lt;ref-type name="Web Page"&gt;12&lt;/ref-type&gt;&lt;contributors&gt;&lt;authors&gt;&lt;author&gt;Blacketer, Clair&lt;/author&gt;&lt;author&gt;DeFalco, Frank&lt;/author&gt;&lt;author&gt;Molinaro, Anthony&lt;/author&gt;&lt;/authors&gt;&lt;/contributors&gt;&lt;titles&gt;&lt;title&gt;Synthea ETL Builder&lt;/title&gt;&lt;/titles&gt;&lt;dates&gt;&lt;year&gt;2019&lt;/year&gt;&lt;/dates&gt;&lt;urls&gt;&lt;related-urls&gt;&lt;url&gt;https://github.com/ohdsi/etl-synthea&lt;/url&gt;&lt;/related-urls&gt;&lt;/urls&gt;&lt;/record&gt;&lt;/Cite&gt;&lt;/EndNote&gt;</w:instrText>
      </w:r>
      <w:r w:rsidR="0065654B">
        <w:rPr>
          <w:rStyle w:val="normaltextrun"/>
          <w:rFonts w:ascii="Arial" w:hAnsi="Arial" w:cs="Arial"/>
          <w:color w:val="000000"/>
          <w:sz w:val="22"/>
          <w:szCs w:val="22"/>
          <w:shd w:val="clear" w:color="auto" w:fill="FFFFFF"/>
        </w:rPr>
        <w:fldChar w:fldCharType="separate"/>
      </w:r>
      <w:r w:rsidR="0065654B">
        <w:rPr>
          <w:rStyle w:val="normaltextrun"/>
          <w:rFonts w:ascii="Arial" w:hAnsi="Arial" w:cs="Arial"/>
          <w:noProof/>
          <w:color w:val="000000"/>
          <w:sz w:val="22"/>
          <w:szCs w:val="22"/>
          <w:shd w:val="clear" w:color="auto" w:fill="FFFFFF"/>
        </w:rPr>
        <w:t>(2)</w:t>
      </w:r>
      <w:r w:rsidR="0065654B">
        <w:rPr>
          <w:rStyle w:val="normaltextrun"/>
          <w:rFonts w:ascii="Arial" w:hAnsi="Arial" w:cs="Arial"/>
          <w:color w:val="000000"/>
          <w:sz w:val="22"/>
          <w:szCs w:val="22"/>
          <w:shd w:val="clear" w:color="auto" w:fill="FFFFFF"/>
        </w:rPr>
        <w:fldChar w:fldCharType="end"/>
      </w:r>
      <w:r w:rsidRPr="00B10AF6">
        <w:rPr>
          <w:rStyle w:val="normaltextrun"/>
          <w:rFonts w:ascii="Arial" w:hAnsi="Arial" w:cs="Arial"/>
          <w:color w:val="000000"/>
          <w:sz w:val="22"/>
          <w:szCs w:val="22"/>
          <w:shd w:val="clear" w:color="auto" w:fill="FFFFFF"/>
        </w:rPr>
        <w:t xml:space="preserve"> for conversion between the </w:t>
      </w:r>
      <w:r w:rsidRPr="00B10AF6">
        <w:rPr>
          <w:rStyle w:val="spellingerror"/>
          <w:rFonts w:ascii="Arial" w:hAnsi="Arial" w:cs="Arial"/>
          <w:color w:val="000000"/>
          <w:sz w:val="22"/>
          <w:szCs w:val="22"/>
          <w:shd w:val="clear" w:color="auto" w:fill="FFFFFF"/>
        </w:rPr>
        <w:t>Synthea</w:t>
      </w:r>
      <w:r w:rsidRPr="00B10AF6">
        <w:rPr>
          <w:rStyle w:val="normaltextrun"/>
          <w:rFonts w:ascii="Arial" w:hAnsi="Arial" w:cs="Arial"/>
          <w:color w:val="000000"/>
          <w:sz w:val="22"/>
          <w:szCs w:val="22"/>
        </w:rPr>
        <w:t> and OMOP data models</w:t>
      </w:r>
      <w:r w:rsidRPr="00B10AF6">
        <w:rPr>
          <w:rFonts w:ascii="Arial" w:eastAsia="Calibri" w:hAnsi="Arial" w:cs="Arial"/>
          <w:sz w:val="22"/>
          <w:szCs w:val="22"/>
          <w:shd w:val="clear" w:color="auto" w:fill="FFFFFF"/>
        </w:rPr>
        <w:t xml:space="preserve">.  </w:t>
      </w:r>
      <w:r w:rsidRPr="00B10AF6">
        <w:rPr>
          <w:rStyle w:val="normaltextrun"/>
          <w:rFonts w:ascii="Arial" w:hAnsi="Arial" w:cs="Arial"/>
          <w:color w:val="000000" w:themeColor="text1"/>
          <w:sz w:val="22"/>
          <w:szCs w:val="22"/>
          <w:shd w:val="clear" w:color="auto" w:fill="FFFFFF"/>
        </w:rPr>
        <w:t>We demonstrate how the simulated data can be used by a variety of OHDSI tools and methods and describe how to scale the solution to generate large, synthetic, common data model compliant data sets.</w:t>
      </w:r>
      <w:r w:rsidRPr="00B10AF6">
        <w:rPr>
          <w:rStyle w:val="eop"/>
          <w:rFonts w:ascii="Arial" w:hAnsi="Arial" w:cs="Arial"/>
          <w:sz w:val="22"/>
          <w:szCs w:val="22"/>
        </w:rPr>
        <w:t> </w:t>
      </w:r>
      <w:r w:rsidRPr="00B10AF6">
        <w:rPr>
          <w:rFonts w:ascii="Arial" w:eastAsia="Calibri" w:hAnsi="Arial" w:cs="Arial"/>
          <w:color w:val="000000" w:themeColor="text1"/>
          <w:sz w:val="22"/>
          <w:szCs w:val="22"/>
        </w:rPr>
        <w:t xml:space="preserve"> </w:t>
      </w:r>
    </w:p>
    <w:p w14:paraId="6FBD462B" w14:textId="77777777" w:rsidR="00B10AF6" w:rsidRPr="00B10AF6" w:rsidRDefault="00B10AF6" w:rsidP="002C47AE">
      <w:pPr>
        <w:spacing w:line="276" w:lineRule="auto"/>
        <w:rPr>
          <w:rFonts w:ascii="Arial" w:eastAsia="Calibri" w:hAnsi="Arial" w:cs="Arial"/>
          <w:sz w:val="22"/>
          <w:szCs w:val="22"/>
        </w:rPr>
      </w:pPr>
    </w:p>
    <w:p w14:paraId="4B39CE37" w14:textId="77777777" w:rsidR="00B10AF6" w:rsidRDefault="00B10AF6" w:rsidP="002C47AE">
      <w:pPr>
        <w:spacing w:line="276" w:lineRule="auto"/>
        <w:rPr>
          <w:rFonts w:ascii="Arial" w:eastAsia="Calibri" w:hAnsi="Arial" w:cs="Arial"/>
          <w:b/>
          <w:sz w:val="22"/>
          <w:szCs w:val="22"/>
        </w:rPr>
      </w:pPr>
      <w:r w:rsidRPr="00B10AF6">
        <w:rPr>
          <w:rFonts w:ascii="Arial" w:eastAsia="Calibri" w:hAnsi="Arial" w:cs="Arial"/>
          <w:b/>
          <w:sz w:val="22"/>
          <w:szCs w:val="22"/>
        </w:rPr>
        <w:t>Background</w:t>
      </w:r>
    </w:p>
    <w:p w14:paraId="03A8F1B8" w14:textId="348F2848" w:rsidR="00B10AF6" w:rsidRPr="00B10AF6" w:rsidRDefault="00B10AF6" w:rsidP="002C47AE">
      <w:pPr>
        <w:spacing w:line="276" w:lineRule="auto"/>
        <w:rPr>
          <w:rFonts w:ascii="Arial" w:eastAsia="Calibri" w:hAnsi="Arial" w:cs="Arial"/>
          <w:sz w:val="22"/>
          <w:szCs w:val="22"/>
        </w:rPr>
      </w:pPr>
      <w:r w:rsidRPr="00B10AF6">
        <w:rPr>
          <w:rFonts w:ascii="Arial" w:eastAsia="Calibri" w:hAnsi="Arial" w:cs="Arial"/>
          <w:sz w:val="22"/>
          <w:szCs w:val="22"/>
        </w:rPr>
        <w:t xml:space="preserve">The OHDSI community is comprised of individuals with </w:t>
      </w:r>
      <w:r w:rsidRPr="00B10AF6">
        <w:rPr>
          <w:rStyle w:val="normaltextrun"/>
          <w:rFonts w:ascii="Arial" w:hAnsi="Arial" w:cs="Arial"/>
          <w:iCs/>
          <w:color w:val="000000"/>
          <w:sz w:val="22"/>
          <w:szCs w:val="22"/>
          <w:bdr w:val="none" w:sz="0" w:space="0" w:color="auto" w:frame="1"/>
        </w:rPr>
        <w:t>a wide variety of skills: clinicians, statisticians, epidemiologists and computer scientists to name a few</w:t>
      </w:r>
      <w:r w:rsidRPr="00B10AF6">
        <w:rPr>
          <w:rFonts w:ascii="Arial" w:eastAsia="Calibri" w:hAnsi="Arial" w:cs="Arial"/>
          <w:sz w:val="22"/>
          <w:szCs w:val="22"/>
        </w:rPr>
        <w:t xml:space="preserve">.  </w:t>
      </w:r>
      <w:r w:rsidRPr="00B10AF6">
        <w:rPr>
          <w:rStyle w:val="normaltextrun"/>
          <w:rFonts w:ascii="Arial" w:hAnsi="Arial" w:cs="Arial"/>
          <w:iCs/>
          <w:color w:val="000000"/>
          <w:sz w:val="22"/>
          <w:szCs w:val="22"/>
          <w:shd w:val="clear" w:color="auto" w:fill="FFFFFF"/>
        </w:rPr>
        <w:t xml:space="preserve">While some members of the community have access to patient level data this is not consistent across all members.  Limitations on distribution of data </w:t>
      </w:r>
      <w:r w:rsidRPr="00B10AF6">
        <w:rPr>
          <w:rFonts w:ascii="Arial" w:eastAsia="Calibri" w:hAnsi="Arial" w:cs="Arial"/>
          <w:sz w:val="22"/>
          <w:szCs w:val="22"/>
        </w:rPr>
        <w:t>due to licensing or privacy restrictions</w:t>
      </w:r>
      <w:r w:rsidRPr="00B10AF6">
        <w:rPr>
          <w:rStyle w:val="normaltextrun"/>
          <w:rFonts w:ascii="Arial" w:hAnsi="Arial" w:cs="Arial"/>
          <w:iCs/>
          <w:color w:val="000000"/>
          <w:sz w:val="22"/>
          <w:szCs w:val="22"/>
          <w:shd w:val="clear" w:color="auto" w:fill="FFFFFF"/>
        </w:rPr>
        <w:t xml:space="preserve"> impedes the community’s ability to share research methods and tools. </w:t>
      </w:r>
      <w:r w:rsidRPr="00B10AF6">
        <w:rPr>
          <w:rFonts w:ascii="Arial" w:eastAsia="Calibri" w:hAnsi="Arial" w:cs="Arial"/>
          <w:sz w:val="22"/>
          <w:szCs w:val="22"/>
        </w:rPr>
        <w:t xml:space="preserve">Additionally, the rapid evolution of health data elements including geographic, genomic, dietary, sensor, and patient reported outcomes are slow to arrive in existing sources of available health data.  Existing synthetic data </w:t>
      </w:r>
      <w:r w:rsidR="00A84125">
        <w:rPr>
          <w:rFonts w:ascii="Arial" w:eastAsia="Calibri" w:hAnsi="Arial" w:cs="Arial"/>
          <w:sz w:val="22"/>
          <w:szCs w:val="22"/>
        </w:rPr>
        <w:t xml:space="preserve">such as OSIM or Synpuf </w:t>
      </w:r>
      <w:r w:rsidRPr="00B10AF6">
        <w:rPr>
          <w:rFonts w:ascii="Arial" w:eastAsia="Calibri" w:hAnsi="Arial" w:cs="Arial"/>
          <w:sz w:val="22"/>
          <w:szCs w:val="22"/>
        </w:rPr>
        <w:t>have lacked adequate flexibility</w:t>
      </w:r>
      <w:r w:rsidR="00055B7F">
        <w:rPr>
          <w:rFonts w:ascii="Arial" w:eastAsia="Calibri" w:hAnsi="Arial" w:cs="Arial"/>
          <w:sz w:val="22"/>
          <w:szCs w:val="22"/>
        </w:rPr>
        <w:t xml:space="preserve"> and update frequency</w:t>
      </w:r>
      <w:r w:rsidRPr="00B10AF6">
        <w:rPr>
          <w:rFonts w:ascii="Arial" w:eastAsia="Calibri" w:hAnsi="Arial" w:cs="Arial"/>
          <w:sz w:val="22"/>
          <w:szCs w:val="22"/>
        </w:rPr>
        <w:t xml:space="preserve"> for the purposes of community members. </w:t>
      </w:r>
    </w:p>
    <w:p w14:paraId="034DDC3D" w14:textId="77777777" w:rsidR="00B10AF6" w:rsidRPr="00B10AF6" w:rsidRDefault="00B10AF6" w:rsidP="002C47AE">
      <w:pPr>
        <w:spacing w:line="276" w:lineRule="auto"/>
        <w:rPr>
          <w:rFonts w:ascii="Arial" w:eastAsia="Calibri" w:hAnsi="Arial" w:cs="Arial"/>
          <w:sz w:val="22"/>
          <w:szCs w:val="22"/>
        </w:rPr>
      </w:pPr>
    </w:p>
    <w:p w14:paraId="5D06D312" w14:textId="77777777" w:rsidR="00B10AF6" w:rsidRDefault="00B10AF6" w:rsidP="002C47AE">
      <w:pPr>
        <w:spacing w:line="276" w:lineRule="auto"/>
        <w:rPr>
          <w:rFonts w:ascii="Arial" w:eastAsia="Calibri" w:hAnsi="Arial" w:cs="Arial"/>
          <w:b/>
          <w:sz w:val="22"/>
          <w:szCs w:val="22"/>
        </w:rPr>
      </w:pPr>
      <w:r w:rsidRPr="00B10AF6">
        <w:rPr>
          <w:rFonts w:ascii="Arial" w:eastAsia="Calibri" w:hAnsi="Arial" w:cs="Arial"/>
          <w:b/>
          <w:sz w:val="22"/>
          <w:szCs w:val="22"/>
        </w:rPr>
        <w:t>Data Generation</w:t>
      </w:r>
    </w:p>
    <w:p w14:paraId="69DC3B3F" w14:textId="02880474" w:rsidR="00B10AF6" w:rsidRPr="00B10AF6" w:rsidRDefault="00B10AF6" w:rsidP="002C47AE">
      <w:pPr>
        <w:spacing w:line="276" w:lineRule="auto"/>
        <w:rPr>
          <w:rFonts w:ascii="Arial" w:eastAsia="Calibri" w:hAnsi="Arial" w:cs="Arial"/>
          <w:sz w:val="22"/>
          <w:szCs w:val="22"/>
        </w:rPr>
      </w:pPr>
      <w:r w:rsidRPr="00B10AF6">
        <w:rPr>
          <w:rFonts w:ascii="Arial" w:eastAsia="Calibri" w:hAnsi="Arial" w:cs="Arial"/>
          <w:sz w:val="22"/>
          <w:szCs w:val="22"/>
        </w:rPr>
        <w:t>Syn</w:t>
      </w:r>
      <w:r w:rsidR="007D2B85">
        <w:rPr>
          <w:rFonts w:ascii="Arial" w:eastAsia="Calibri" w:hAnsi="Arial" w:cs="Arial"/>
          <w:sz w:val="22"/>
          <w:szCs w:val="22"/>
        </w:rPr>
        <w:t>t</w:t>
      </w:r>
      <w:r w:rsidRPr="00B10AF6">
        <w:rPr>
          <w:rFonts w:ascii="Arial" w:eastAsia="Calibri" w:hAnsi="Arial" w:cs="Arial"/>
          <w:sz w:val="22"/>
          <w:szCs w:val="22"/>
        </w:rPr>
        <w:t>hea is software capable of producing a “source of synthetic electronic health records that is readily available; suited to industrial, innovation, research, and educational uses; and free of legal, privacy, security, and intellectual property restrictions.”</w:t>
      </w:r>
      <w:r w:rsidRPr="00B10AF6">
        <w:rPr>
          <w:rFonts w:ascii="Arial" w:eastAsia="Calibri" w:hAnsi="Arial" w:cs="Arial"/>
          <w:sz w:val="22"/>
          <w:szCs w:val="22"/>
          <w:vertAlign w:val="superscript"/>
        </w:rPr>
        <w:t>1</w:t>
      </w:r>
      <w:r w:rsidRPr="00B10AF6">
        <w:rPr>
          <w:rFonts w:ascii="Arial" w:eastAsia="Calibri" w:hAnsi="Arial" w:cs="Arial"/>
          <w:sz w:val="22"/>
          <w:szCs w:val="22"/>
        </w:rPr>
        <w:t xml:space="preserve"> Synthea provides a generic module framework</w:t>
      </w:r>
      <w:r w:rsidR="00EF7855">
        <w:rPr>
          <w:rFonts w:ascii="Arial" w:eastAsia="Calibri" w:hAnsi="Arial" w:cs="Arial"/>
          <w:sz w:val="22"/>
          <w:szCs w:val="22"/>
        </w:rPr>
        <w:fldChar w:fldCharType="begin"/>
      </w:r>
      <w:r w:rsidR="00EF7855">
        <w:rPr>
          <w:rFonts w:ascii="Arial" w:eastAsia="Calibri" w:hAnsi="Arial" w:cs="Arial"/>
          <w:sz w:val="22"/>
          <w:szCs w:val="22"/>
        </w:rPr>
        <w:instrText xml:space="preserve"> ADDIN EN.CITE &lt;EndNote&gt;&lt;Cite&gt;&lt;Author&gt;Walonoski&lt;/Author&gt;&lt;Year&gt;2019&lt;/Year&gt;&lt;RecNum&gt;4&lt;/RecNum&gt;&lt;DisplayText&gt;(3)&lt;/DisplayText&gt;&lt;record&gt;&lt;rec-number&gt;4&lt;/rec-number&gt;&lt;foreign-keys&gt;&lt;key app="EN" db-id="wa29eap2fxs2ene5xscvevxw9t9d9xzrx9t2" timestamp="1559936707"&gt;4&lt;/key&gt;&lt;/foreign-keys&gt;&lt;ref-type name="Web Page"&gt;12&lt;/ref-type&gt;&lt;contributors&gt;&lt;authors&gt;&lt;author&gt;Walonoski, Jason &lt;/author&gt;&lt;/authors&gt;&lt;/contributors&gt;&lt;titles&gt;&lt;title&gt;Synthea Generic Module Framework&lt;/title&gt;&lt;/titles&gt;&lt;volume&gt;2019&lt;/volume&gt;&lt;dates&gt;&lt;year&gt;2019&lt;/year&gt;&lt;/dates&gt;&lt;urls&gt;&lt;related-urls&gt;&lt;url&gt;https://github.com/synthetichealth/synthea/wiki/Generic-Module-Framework&lt;/url&gt;&lt;/related-urls&gt;&lt;/urls&gt;&lt;/record&gt;&lt;/Cite&gt;&lt;/EndNote&gt;</w:instrText>
      </w:r>
      <w:r w:rsidR="00EF7855">
        <w:rPr>
          <w:rFonts w:ascii="Arial" w:eastAsia="Calibri" w:hAnsi="Arial" w:cs="Arial"/>
          <w:sz w:val="22"/>
          <w:szCs w:val="22"/>
        </w:rPr>
        <w:fldChar w:fldCharType="separate"/>
      </w:r>
      <w:r w:rsidR="00EF7855">
        <w:rPr>
          <w:rFonts w:ascii="Arial" w:eastAsia="Calibri" w:hAnsi="Arial" w:cs="Arial"/>
          <w:noProof/>
          <w:sz w:val="22"/>
          <w:szCs w:val="22"/>
        </w:rPr>
        <w:t>(3)</w:t>
      </w:r>
      <w:r w:rsidR="00EF7855">
        <w:rPr>
          <w:rFonts w:ascii="Arial" w:eastAsia="Calibri" w:hAnsi="Arial" w:cs="Arial"/>
          <w:sz w:val="22"/>
          <w:szCs w:val="22"/>
        </w:rPr>
        <w:fldChar w:fldCharType="end"/>
      </w:r>
      <w:r w:rsidRPr="00B10AF6">
        <w:rPr>
          <w:rFonts w:ascii="Arial" w:eastAsia="Calibri" w:hAnsi="Arial" w:cs="Arial"/>
          <w:sz w:val="22"/>
          <w:szCs w:val="22"/>
        </w:rPr>
        <w:t xml:space="preserve"> to define a progression of states including “conditions, encounters, medications, and other clinical events.” </w:t>
      </w:r>
      <w:r w:rsidRPr="00B10AF6">
        <w:rPr>
          <w:rFonts w:ascii="Arial" w:eastAsia="Calibri" w:hAnsi="Arial" w:cs="Arial"/>
          <w:sz w:val="22"/>
          <w:szCs w:val="22"/>
          <w:vertAlign w:val="superscript"/>
        </w:rPr>
        <w:t xml:space="preserve">2 </w:t>
      </w:r>
      <w:r w:rsidRPr="00B10AF6">
        <w:rPr>
          <w:rFonts w:ascii="Arial" w:eastAsia="Calibri" w:hAnsi="Arial" w:cs="Arial"/>
          <w:sz w:val="22"/>
          <w:szCs w:val="22"/>
        </w:rPr>
        <w:t>This framework enables flexible and configurable simulation of a variety of clinical encounters. For each synthetic patient, Synthea data contains a complete medical history, including medications, allergies, medical encounters, and social determinants of health. We leverage existing modules contributed by the Synthea community and develop our own modules to produce a clinically reasonable</w:t>
      </w:r>
      <w:r w:rsidR="00344717">
        <w:rPr>
          <w:rFonts w:ascii="Arial" w:eastAsia="Calibri" w:hAnsi="Arial" w:cs="Arial"/>
          <w:sz w:val="22"/>
          <w:szCs w:val="22"/>
        </w:rPr>
        <w:t>, customizable</w:t>
      </w:r>
      <w:r w:rsidRPr="00B10AF6">
        <w:rPr>
          <w:rFonts w:ascii="Arial" w:eastAsia="Calibri" w:hAnsi="Arial" w:cs="Arial"/>
          <w:sz w:val="22"/>
          <w:szCs w:val="22"/>
        </w:rPr>
        <w:t xml:space="preserve"> patient level data set.  </w:t>
      </w:r>
    </w:p>
    <w:p w14:paraId="40D9CB56" w14:textId="77777777" w:rsidR="00B10AF6" w:rsidRPr="00B10AF6" w:rsidRDefault="00B10AF6" w:rsidP="002C47AE">
      <w:pPr>
        <w:spacing w:line="276" w:lineRule="auto"/>
        <w:rPr>
          <w:rFonts w:ascii="Arial" w:eastAsia="Calibri" w:hAnsi="Arial" w:cs="Arial"/>
          <w:sz w:val="22"/>
          <w:szCs w:val="22"/>
        </w:rPr>
      </w:pPr>
    </w:p>
    <w:p w14:paraId="7E5A67D9" w14:textId="77777777" w:rsidR="00B10AF6" w:rsidRDefault="00B10AF6" w:rsidP="002C47AE">
      <w:pPr>
        <w:spacing w:line="276" w:lineRule="auto"/>
        <w:rPr>
          <w:rFonts w:ascii="Arial" w:eastAsia="Calibri" w:hAnsi="Arial" w:cs="Arial"/>
          <w:b/>
          <w:color w:val="000000" w:themeColor="text1"/>
          <w:sz w:val="22"/>
          <w:szCs w:val="22"/>
        </w:rPr>
      </w:pPr>
      <w:r w:rsidRPr="00B10AF6">
        <w:rPr>
          <w:rFonts w:ascii="Arial" w:eastAsia="Calibri" w:hAnsi="Arial" w:cs="Arial"/>
          <w:b/>
          <w:color w:val="000000" w:themeColor="text1"/>
          <w:sz w:val="22"/>
          <w:szCs w:val="22"/>
        </w:rPr>
        <w:t>Data Conversion</w:t>
      </w:r>
    </w:p>
    <w:p w14:paraId="6D4EE637" w14:textId="3CC132FE" w:rsidR="002C47AE" w:rsidRDefault="002C47AE" w:rsidP="002C47AE">
      <w:pPr>
        <w:spacing w:line="276" w:lineRule="auto"/>
        <w:rPr>
          <w:rFonts w:ascii="Arial" w:eastAsia="Calibri" w:hAnsi="Arial" w:cs="Arial"/>
          <w:sz w:val="22"/>
          <w:szCs w:val="22"/>
        </w:rPr>
      </w:pPr>
      <w:r w:rsidRPr="00B10AF6">
        <w:rPr>
          <w:rFonts w:ascii="Arial" w:eastAsia="Calibri" w:hAnsi="Arial" w:cs="Arial"/>
          <w:sz w:val="22"/>
          <w:szCs w:val="22"/>
        </w:rPr>
        <w:t xml:space="preserve">We developed the ETL Synthea Builder R package to provide a data format conversion process to migrate data </w:t>
      </w:r>
      <w:r w:rsidR="007F1905">
        <w:rPr>
          <w:rFonts w:ascii="Arial" w:eastAsia="Calibri" w:hAnsi="Arial" w:cs="Arial"/>
          <w:sz w:val="22"/>
          <w:szCs w:val="22"/>
        </w:rPr>
        <w:t>from</w:t>
      </w:r>
      <w:r w:rsidR="007F1905" w:rsidRPr="00B10AF6">
        <w:rPr>
          <w:rFonts w:ascii="Arial" w:eastAsia="Calibri" w:hAnsi="Arial" w:cs="Arial"/>
          <w:sz w:val="22"/>
          <w:szCs w:val="22"/>
        </w:rPr>
        <w:t xml:space="preserve"> </w:t>
      </w:r>
      <w:r w:rsidRPr="00B10AF6">
        <w:rPr>
          <w:rFonts w:ascii="Arial" w:eastAsia="Calibri" w:hAnsi="Arial" w:cs="Arial"/>
          <w:sz w:val="22"/>
          <w:szCs w:val="22"/>
        </w:rPr>
        <w:t>the Synthea CSV format to the OMOP Common Data Model 5.3.1 format.  The ETL Synthea Builder package is available from the OHDSI GitHub repository along with instructions on how to install and run the conversion process.</w:t>
      </w:r>
      <w:r w:rsidRPr="00B10AF6">
        <w:rPr>
          <w:rFonts w:ascii="Arial" w:eastAsia="Calibri" w:hAnsi="Arial" w:cs="Arial"/>
          <w:sz w:val="22"/>
          <w:szCs w:val="22"/>
          <w:vertAlign w:val="superscript"/>
        </w:rPr>
        <w:t xml:space="preserve">3 </w:t>
      </w:r>
      <w:r w:rsidRPr="00B10AF6">
        <w:rPr>
          <w:rFonts w:ascii="Arial" w:eastAsia="Calibri" w:hAnsi="Arial" w:cs="Arial"/>
          <w:sz w:val="22"/>
          <w:szCs w:val="22"/>
        </w:rPr>
        <w:t>We leveraged standard OHDSI ETL tools during the development including WhiteRabbit</w:t>
      </w:r>
      <w:r w:rsidR="00C922A1">
        <w:rPr>
          <w:rFonts w:ascii="Arial" w:eastAsia="Calibri" w:hAnsi="Arial" w:cs="Arial"/>
          <w:sz w:val="22"/>
          <w:szCs w:val="22"/>
        </w:rPr>
        <w:fldChar w:fldCharType="begin"/>
      </w:r>
      <w:r w:rsidR="00C922A1">
        <w:rPr>
          <w:rFonts w:ascii="Arial" w:eastAsia="Calibri" w:hAnsi="Arial" w:cs="Arial"/>
          <w:sz w:val="22"/>
          <w:szCs w:val="22"/>
        </w:rPr>
        <w:instrText xml:space="preserve"> ADDIN EN.CITE &lt;EndNote&gt;&lt;Cite&gt;&lt;Author&gt;Schuemie&lt;/Author&gt;&lt;Year&gt;2019&lt;/Year&gt;&lt;RecNum&gt;5&lt;/RecNum&gt;&lt;DisplayText&gt;(4)&lt;/DisplayText&gt;&lt;record&gt;&lt;rec-number&gt;5&lt;/rec-number&gt;&lt;foreign-keys&gt;&lt;key app="EN" db-id="wa29eap2fxs2ene5xscvevxw9t9d9xzrx9t2" timestamp="1559936865"&gt;5&lt;/key&gt;&lt;/foreign-keys&gt;&lt;ref-type name="Web Page"&gt;12&lt;/ref-type&gt;&lt;contributors&gt;&lt;authors&gt;&lt;author&gt;Schuemie, Martijn &lt;/author&gt;&lt;/authors&gt;&lt;/contributors&gt;&lt;titles&gt;&lt;/titles&gt;&lt;dates&gt;&lt;year&gt;2019&lt;/year&gt;&lt;/dates&gt;&lt;urls&gt;&lt;related-urls&gt;&lt;url&gt;https://github.com/OHDSI/WhiteRabbit&lt;/url&gt;&lt;/related-urls&gt;&lt;/urls&gt;&lt;/record&gt;&lt;/Cite&gt;&lt;/EndNote&gt;</w:instrText>
      </w:r>
      <w:r w:rsidR="00C922A1">
        <w:rPr>
          <w:rFonts w:ascii="Arial" w:eastAsia="Calibri" w:hAnsi="Arial" w:cs="Arial"/>
          <w:sz w:val="22"/>
          <w:szCs w:val="22"/>
        </w:rPr>
        <w:fldChar w:fldCharType="separate"/>
      </w:r>
      <w:r w:rsidR="00C922A1">
        <w:rPr>
          <w:rFonts w:ascii="Arial" w:eastAsia="Calibri" w:hAnsi="Arial" w:cs="Arial"/>
          <w:noProof/>
          <w:sz w:val="22"/>
          <w:szCs w:val="22"/>
        </w:rPr>
        <w:t>(4)</w:t>
      </w:r>
      <w:r w:rsidR="00C922A1">
        <w:rPr>
          <w:rFonts w:ascii="Arial" w:eastAsia="Calibri" w:hAnsi="Arial" w:cs="Arial"/>
          <w:sz w:val="22"/>
          <w:szCs w:val="22"/>
        </w:rPr>
        <w:fldChar w:fldCharType="end"/>
      </w:r>
      <w:r w:rsidRPr="00B10AF6">
        <w:rPr>
          <w:rFonts w:ascii="Arial" w:eastAsia="Calibri" w:hAnsi="Arial" w:cs="Arial"/>
          <w:sz w:val="22"/>
          <w:szCs w:val="22"/>
        </w:rPr>
        <w:t xml:space="preserve"> to produce documentation on the conversion logic</w:t>
      </w:r>
      <w:r>
        <w:rPr>
          <w:rFonts w:ascii="Arial" w:eastAsia="Calibri" w:hAnsi="Arial" w:cs="Arial"/>
          <w:sz w:val="22"/>
          <w:szCs w:val="22"/>
        </w:rPr>
        <w:t xml:space="preserve"> (see Figure 1)</w:t>
      </w:r>
      <w:r w:rsidRPr="00B10AF6">
        <w:rPr>
          <w:rFonts w:ascii="Arial" w:eastAsia="Calibri" w:hAnsi="Arial" w:cs="Arial"/>
          <w:sz w:val="22"/>
          <w:szCs w:val="22"/>
        </w:rPr>
        <w:t xml:space="preserve">. </w:t>
      </w:r>
      <w:proofErr w:type="gramStart"/>
      <w:r w:rsidRPr="00B10AF6">
        <w:rPr>
          <w:rFonts w:ascii="Arial" w:eastAsia="Calibri" w:hAnsi="Arial" w:cs="Arial"/>
          <w:sz w:val="22"/>
          <w:szCs w:val="22"/>
          <w:vertAlign w:val="superscript"/>
        </w:rPr>
        <w:t>4</w:t>
      </w:r>
      <w:r w:rsidR="0031588C">
        <w:rPr>
          <w:rFonts w:ascii="Arial" w:eastAsia="Calibri" w:hAnsi="Arial" w:cs="Arial"/>
          <w:sz w:val="22"/>
          <w:szCs w:val="22"/>
          <w:vertAlign w:val="superscript"/>
        </w:rPr>
        <w:t xml:space="preserve"> </w:t>
      </w:r>
      <w:r w:rsidR="00106964">
        <w:rPr>
          <w:rFonts w:ascii="Arial" w:eastAsia="Calibri" w:hAnsi="Arial" w:cs="Arial"/>
          <w:sz w:val="22"/>
          <w:szCs w:val="22"/>
          <w:vertAlign w:val="superscript"/>
        </w:rPr>
        <w:t xml:space="preserve"> </w:t>
      </w:r>
      <w:r w:rsidR="00BF558F">
        <w:rPr>
          <w:rFonts w:ascii="Arial" w:eastAsia="Calibri" w:hAnsi="Arial" w:cs="Arial"/>
          <w:sz w:val="22"/>
          <w:szCs w:val="22"/>
        </w:rPr>
        <w:t>Once</w:t>
      </w:r>
      <w:proofErr w:type="gramEnd"/>
      <w:r w:rsidR="00BF558F">
        <w:rPr>
          <w:rFonts w:ascii="Arial" w:eastAsia="Calibri" w:hAnsi="Arial" w:cs="Arial"/>
          <w:sz w:val="22"/>
          <w:szCs w:val="22"/>
        </w:rPr>
        <w:t xml:space="preserve"> conversion was completed the CDM data was exposed through ATLAS and reviewed using the Data Sources module (see Figure 2).</w:t>
      </w:r>
      <w:r w:rsidR="00DA5D72">
        <w:rPr>
          <w:rFonts w:ascii="Arial" w:eastAsia="Calibri" w:hAnsi="Arial" w:cs="Arial"/>
          <w:sz w:val="22"/>
          <w:szCs w:val="22"/>
        </w:rPr>
        <w:t xml:space="preserve">  The 5.3.1 release of the ETL Synthea Builder </w:t>
      </w:r>
      <w:r w:rsidR="00E268BE">
        <w:rPr>
          <w:rFonts w:ascii="Arial" w:eastAsia="Calibri" w:hAnsi="Arial" w:cs="Arial"/>
          <w:sz w:val="22"/>
          <w:szCs w:val="22"/>
        </w:rPr>
        <w:t>populates</w:t>
      </w:r>
      <w:r w:rsidR="004416DA">
        <w:rPr>
          <w:rFonts w:ascii="Arial" w:eastAsia="Calibri" w:hAnsi="Arial" w:cs="Arial"/>
          <w:sz w:val="22"/>
          <w:szCs w:val="22"/>
        </w:rPr>
        <w:t xml:space="preserve"> data in the visit, measurement, observation, </w:t>
      </w:r>
      <w:r w:rsidR="0059276F">
        <w:rPr>
          <w:rFonts w:ascii="Arial" w:eastAsia="Calibri" w:hAnsi="Arial" w:cs="Arial"/>
          <w:sz w:val="22"/>
          <w:szCs w:val="22"/>
        </w:rPr>
        <w:lastRenderedPageBreak/>
        <w:t xml:space="preserve">observation period, </w:t>
      </w:r>
      <w:r w:rsidR="004416DA">
        <w:rPr>
          <w:rFonts w:ascii="Arial" w:eastAsia="Calibri" w:hAnsi="Arial" w:cs="Arial"/>
          <w:sz w:val="22"/>
          <w:szCs w:val="22"/>
        </w:rPr>
        <w:t xml:space="preserve">condition, drug, procedure, </w:t>
      </w:r>
      <w:r w:rsidR="00E268BE">
        <w:rPr>
          <w:rFonts w:ascii="Arial" w:eastAsia="Calibri" w:hAnsi="Arial" w:cs="Arial"/>
          <w:sz w:val="22"/>
          <w:szCs w:val="22"/>
        </w:rPr>
        <w:t xml:space="preserve">and </w:t>
      </w:r>
      <w:r w:rsidR="004416DA">
        <w:rPr>
          <w:rFonts w:ascii="Arial" w:eastAsia="Calibri" w:hAnsi="Arial" w:cs="Arial"/>
          <w:sz w:val="22"/>
          <w:szCs w:val="22"/>
        </w:rPr>
        <w:t>person related tables.</w:t>
      </w:r>
      <w:r w:rsidR="005355EB">
        <w:rPr>
          <w:rFonts w:ascii="Arial" w:eastAsia="Calibri" w:hAnsi="Arial" w:cs="Arial"/>
          <w:sz w:val="22"/>
          <w:szCs w:val="22"/>
        </w:rPr>
        <w:t xml:space="preserve">  The ETL Synthea Builder package is freely distributed under the Apache 2.0 license and can be downloaded from </w:t>
      </w:r>
      <w:hyperlink r:id="rId8" w:history="1">
        <w:r w:rsidR="00105901" w:rsidRPr="00BF52DB">
          <w:rPr>
            <w:rStyle w:val="Hyperlink"/>
            <w:rFonts w:ascii="Arial" w:eastAsia="Calibri" w:hAnsi="Arial" w:cs="Arial"/>
            <w:sz w:val="22"/>
            <w:szCs w:val="22"/>
          </w:rPr>
          <w:t>https://github.com/ohdsi/etl-synthea</w:t>
        </w:r>
      </w:hyperlink>
      <w:r w:rsidR="00105901">
        <w:rPr>
          <w:rFonts w:ascii="Arial" w:eastAsia="Calibri" w:hAnsi="Arial" w:cs="Arial"/>
          <w:sz w:val="22"/>
          <w:szCs w:val="22"/>
        </w:rPr>
        <w:t>.</w:t>
      </w:r>
    </w:p>
    <w:p w14:paraId="6E4A60F1" w14:textId="77777777" w:rsidR="00105901" w:rsidRPr="00EA0F9B" w:rsidRDefault="00105901" w:rsidP="002C47AE">
      <w:pPr>
        <w:spacing w:line="276" w:lineRule="auto"/>
        <w:rPr>
          <w:rFonts w:ascii="Arial" w:eastAsia="Calibri" w:hAnsi="Arial" w:cs="Arial"/>
          <w:sz w:val="22"/>
          <w:szCs w:val="22"/>
        </w:rPr>
      </w:pPr>
    </w:p>
    <w:p w14:paraId="06E2CBE3" w14:textId="278251A2" w:rsidR="002C47AE" w:rsidRDefault="002C47AE" w:rsidP="00BF558F">
      <w:pPr>
        <w:spacing w:line="276" w:lineRule="auto"/>
        <w:jc w:val="center"/>
        <w:rPr>
          <w:rFonts w:ascii="Arial" w:eastAsia="Calibri" w:hAnsi="Arial" w:cs="Arial"/>
          <w:b/>
          <w:color w:val="000000" w:themeColor="text1"/>
          <w:sz w:val="22"/>
          <w:szCs w:val="22"/>
        </w:rPr>
      </w:pPr>
      <w:r w:rsidRPr="00B10AF6">
        <w:rPr>
          <w:rFonts w:ascii="Arial" w:hAnsi="Arial" w:cs="Arial"/>
          <w:noProof/>
          <w:sz w:val="22"/>
          <w:szCs w:val="22"/>
        </w:rPr>
        <w:drawing>
          <wp:inline distT="0" distB="0" distL="0" distR="0" wp14:anchorId="2EAEA2F1" wp14:editId="24AF7456">
            <wp:extent cx="2181192" cy="1367790"/>
            <wp:effectExtent l="0" t="0" r="0" b="3810"/>
            <wp:docPr id="1580751633" name="Picture 158075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92853" cy="1437811"/>
                    </a:xfrm>
                    <a:prstGeom prst="rect">
                      <a:avLst/>
                    </a:prstGeom>
                  </pic:spPr>
                </pic:pic>
              </a:graphicData>
            </a:graphic>
          </wp:inline>
        </w:drawing>
      </w:r>
      <w:r w:rsidR="0055392E">
        <w:rPr>
          <w:noProof/>
        </w:rPr>
        <w:drawing>
          <wp:inline distT="0" distB="0" distL="0" distR="0" wp14:anchorId="23D40A98" wp14:editId="5264BCDA">
            <wp:extent cx="3176020" cy="1362024"/>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21051" cy="1381335"/>
                    </a:xfrm>
                    <a:prstGeom prst="rect">
                      <a:avLst/>
                    </a:prstGeom>
                  </pic:spPr>
                </pic:pic>
              </a:graphicData>
            </a:graphic>
          </wp:inline>
        </w:drawing>
      </w:r>
    </w:p>
    <w:p w14:paraId="45B47957" w14:textId="3E9D0386" w:rsidR="002C47AE" w:rsidRPr="002C47AE" w:rsidRDefault="002C47AE" w:rsidP="00EA0F9B">
      <w:pPr>
        <w:spacing w:line="276" w:lineRule="auto"/>
        <w:rPr>
          <w:rFonts w:ascii="Arial" w:eastAsia="Calibri" w:hAnsi="Arial" w:cs="Arial"/>
          <w:b/>
          <w:color w:val="000000" w:themeColor="text1"/>
          <w:sz w:val="18"/>
          <w:szCs w:val="22"/>
        </w:rPr>
      </w:pPr>
      <w:r w:rsidRPr="002C47AE">
        <w:rPr>
          <w:rFonts w:ascii="Arial" w:eastAsia="Calibri" w:hAnsi="Arial" w:cs="Arial"/>
          <w:b/>
          <w:color w:val="000000" w:themeColor="text1"/>
          <w:sz w:val="18"/>
          <w:szCs w:val="22"/>
        </w:rPr>
        <w:t>FIGURE 1</w:t>
      </w:r>
      <w:r w:rsidR="0055392E">
        <w:rPr>
          <w:rFonts w:ascii="Arial" w:eastAsia="Calibri" w:hAnsi="Arial" w:cs="Arial"/>
          <w:b/>
          <w:color w:val="000000" w:themeColor="text1"/>
          <w:sz w:val="18"/>
          <w:szCs w:val="22"/>
        </w:rPr>
        <w:tab/>
      </w:r>
      <w:r w:rsidR="0055392E">
        <w:rPr>
          <w:rFonts w:ascii="Arial" w:eastAsia="Calibri" w:hAnsi="Arial" w:cs="Arial"/>
          <w:b/>
          <w:color w:val="000000" w:themeColor="text1"/>
          <w:sz w:val="18"/>
          <w:szCs w:val="22"/>
        </w:rPr>
        <w:tab/>
      </w:r>
      <w:r w:rsidR="0055392E">
        <w:rPr>
          <w:rFonts w:ascii="Arial" w:eastAsia="Calibri" w:hAnsi="Arial" w:cs="Arial"/>
          <w:b/>
          <w:color w:val="000000" w:themeColor="text1"/>
          <w:sz w:val="18"/>
          <w:szCs w:val="22"/>
        </w:rPr>
        <w:tab/>
      </w:r>
      <w:r w:rsidR="0055392E">
        <w:rPr>
          <w:rFonts w:ascii="Arial" w:eastAsia="Calibri" w:hAnsi="Arial" w:cs="Arial"/>
          <w:b/>
          <w:color w:val="000000" w:themeColor="text1"/>
          <w:sz w:val="18"/>
          <w:szCs w:val="22"/>
        </w:rPr>
        <w:tab/>
      </w:r>
      <w:r w:rsidR="0055392E">
        <w:rPr>
          <w:rFonts w:ascii="Arial" w:eastAsia="Calibri" w:hAnsi="Arial" w:cs="Arial"/>
          <w:b/>
          <w:color w:val="000000" w:themeColor="text1"/>
          <w:sz w:val="18"/>
          <w:szCs w:val="22"/>
        </w:rPr>
        <w:tab/>
      </w:r>
      <w:r w:rsidR="0055392E">
        <w:rPr>
          <w:rFonts w:ascii="Arial" w:eastAsia="Calibri" w:hAnsi="Arial" w:cs="Arial"/>
          <w:b/>
          <w:color w:val="000000" w:themeColor="text1"/>
          <w:sz w:val="18"/>
          <w:szCs w:val="22"/>
        </w:rPr>
        <w:tab/>
        <w:t>FIGURE 2</w:t>
      </w:r>
    </w:p>
    <w:p w14:paraId="379FC916" w14:textId="77777777" w:rsidR="00B10AF6" w:rsidRDefault="00B10AF6" w:rsidP="002C47AE">
      <w:pPr>
        <w:spacing w:line="276" w:lineRule="auto"/>
        <w:rPr>
          <w:rFonts w:ascii="Arial" w:eastAsia="Calibri" w:hAnsi="Arial" w:cs="Arial"/>
          <w:sz w:val="22"/>
          <w:szCs w:val="22"/>
        </w:rPr>
      </w:pPr>
    </w:p>
    <w:p w14:paraId="07F2199A" w14:textId="77777777" w:rsidR="002C47AE" w:rsidRDefault="002C47AE" w:rsidP="002C47AE">
      <w:pPr>
        <w:spacing w:line="276" w:lineRule="auto"/>
        <w:rPr>
          <w:rFonts w:ascii="Arial" w:eastAsia="Calibri" w:hAnsi="Arial" w:cs="Arial"/>
          <w:b/>
          <w:sz w:val="22"/>
          <w:szCs w:val="22"/>
        </w:rPr>
      </w:pPr>
      <w:r>
        <w:rPr>
          <w:rFonts w:ascii="Arial" w:eastAsia="Calibri" w:hAnsi="Arial" w:cs="Arial"/>
          <w:b/>
          <w:sz w:val="22"/>
          <w:szCs w:val="22"/>
        </w:rPr>
        <w:t xml:space="preserve">Scalability </w:t>
      </w:r>
    </w:p>
    <w:p w14:paraId="6DCCDCCB" w14:textId="4F7DB7AF" w:rsidR="002C47AE" w:rsidRDefault="002C47AE" w:rsidP="002C47AE">
      <w:pPr>
        <w:spacing w:line="276" w:lineRule="auto"/>
        <w:rPr>
          <w:rFonts w:ascii="Arial" w:eastAsia="Calibri" w:hAnsi="Arial" w:cs="Arial"/>
          <w:noProof/>
          <w:sz w:val="22"/>
          <w:szCs w:val="22"/>
        </w:rPr>
      </w:pPr>
      <w:r w:rsidRPr="00B10AF6">
        <w:rPr>
          <w:rFonts w:ascii="Arial" w:eastAsia="Calibri" w:hAnsi="Arial" w:cs="Arial"/>
          <w:sz w:val="22"/>
          <w:szCs w:val="22"/>
        </w:rPr>
        <w:t xml:space="preserve">The scalability of the ETL Synthea Builder solution was tested by generating a 100K patient data set and a 2.7M patient data set using Synthea and transforming that data to the OMOP CDM format.  Scalability testing identified JVM heap size and console output recommendations that optimized performance.  Figure </w:t>
      </w:r>
      <w:r w:rsidR="00BF558F">
        <w:rPr>
          <w:rFonts w:ascii="Arial" w:eastAsia="Calibri" w:hAnsi="Arial" w:cs="Arial"/>
          <w:sz w:val="22"/>
          <w:szCs w:val="22"/>
        </w:rPr>
        <w:t>3</w:t>
      </w:r>
      <w:r w:rsidR="00BF558F" w:rsidRPr="00B10AF6">
        <w:rPr>
          <w:rFonts w:ascii="Arial" w:eastAsia="Calibri" w:hAnsi="Arial" w:cs="Arial"/>
          <w:sz w:val="22"/>
          <w:szCs w:val="22"/>
        </w:rPr>
        <w:t xml:space="preserve"> </w:t>
      </w:r>
      <w:r w:rsidRPr="00B10AF6">
        <w:rPr>
          <w:rFonts w:ascii="Arial" w:eastAsia="Calibri" w:hAnsi="Arial" w:cs="Arial"/>
          <w:sz w:val="22"/>
          <w:szCs w:val="22"/>
        </w:rPr>
        <w:t>illustrates the infrastructure configuration used and Table 1 summarizes the cost and performance of the two execution examples.</w:t>
      </w:r>
      <w:r w:rsidRPr="002C47AE">
        <w:rPr>
          <w:rFonts w:ascii="Arial" w:eastAsia="Calibri" w:hAnsi="Arial" w:cs="Arial"/>
          <w:noProof/>
          <w:sz w:val="22"/>
          <w:szCs w:val="22"/>
        </w:rPr>
        <w:t xml:space="preserve"> </w:t>
      </w:r>
    </w:p>
    <w:p w14:paraId="673F4C42" w14:textId="6D21D6C6" w:rsidR="002C47AE" w:rsidRDefault="002C47AE" w:rsidP="002C47AE">
      <w:pPr>
        <w:spacing w:line="276" w:lineRule="auto"/>
        <w:jc w:val="center"/>
        <w:rPr>
          <w:rFonts w:ascii="Arial" w:eastAsia="Calibri" w:hAnsi="Arial" w:cs="Arial"/>
          <w:sz w:val="22"/>
          <w:szCs w:val="22"/>
        </w:rPr>
      </w:pPr>
      <w:r w:rsidRPr="00B10AF6">
        <w:rPr>
          <w:rFonts w:ascii="Arial" w:eastAsia="Calibri" w:hAnsi="Arial" w:cs="Arial"/>
          <w:noProof/>
          <w:sz w:val="22"/>
          <w:szCs w:val="22"/>
        </w:rPr>
        <w:drawing>
          <wp:inline distT="0" distB="0" distL="0" distR="0" wp14:anchorId="2F7566F9" wp14:editId="45FC25B7">
            <wp:extent cx="2880995" cy="18649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880995" cy="1864995"/>
                    </a:xfrm>
                    <a:prstGeom prst="rect">
                      <a:avLst/>
                    </a:prstGeom>
                  </pic:spPr>
                </pic:pic>
              </a:graphicData>
            </a:graphic>
          </wp:inline>
        </w:drawing>
      </w:r>
    </w:p>
    <w:p w14:paraId="025D6B34" w14:textId="24FC9B14" w:rsidR="002C47AE" w:rsidRPr="002C47AE" w:rsidRDefault="002C47AE" w:rsidP="002C47AE">
      <w:pPr>
        <w:spacing w:line="276" w:lineRule="auto"/>
        <w:jc w:val="center"/>
        <w:rPr>
          <w:rFonts w:ascii="Arial" w:eastAsia="Calibri" w:hAnsi="Arial" w:cs="Arial"/>
          <w:sz w:val="18"/>
          <w:szCs w:val="22"/>
        </w:rPr>
      </w:pPr>
      <w:r w:rsidRPr="002C47AE">
        <w:rPr>
          <w:rFonts w:ascii="Arial" w:eastAsia="Calibri" w:hAnsi="Arial" w:cs="Arial"/>
          <w:sz w:val="18"/>
          <w:szCs w:val="22"/>
        </w:rPr>
        <w:t xml:space="preserve">FIGURE </w:t>
      </w:r>
      <w:r w:rsidR="0055392E">
        <w:rPr>
          <w:rFonts w:ascii="Arial" w:eastAsia="Calibri" w:hAnsi="Arial" w:cs="Arial"/>
          <w:sz w:val="18"/>
          <w:szCs w:val="22"/>
        </w:rPr>
        <w:t>3</w:t>
      </w:r>
    </w:p>
    <w:p w14:paraId="54E65A98" w14:textId="77777777" w:rsidR="002C47AE" w:rsidRDefault="002C47AE" w:rsidP="002C47AE">
      <w:pPr>
        <w:spacing w:line="276" w:lineRule="auto"/>
        <w:rPr>
          <w:rFonts w:ascii="Arial" w:eastAsia="Calibri" w:hAnsi="Arial" w:cs="Arial"/>
          <w:b/>
          <w:sz w:val="22"/>
          <w:szCs w:val="22"/>
        </w:rPr>
      </w:pPr>
    </w:p>
    <w:p w14:paraId="242E559C" w14:textId="77777777" w:rsidR="00B10AF6" w:rsidRDefault="00B10AF6" w:rsidP="002C47AE">
      <w:pPr>
        <w:spacing w:line="276" w:lineRule="auto"/>
        <w:rPr>
          <w:rFonts w:ascii="Arial" w:eastAsia="Calibri" w:hAnsi="Arial" w:cs="Arial"/>
          <w:b/>
          <w:sz w:val="22"/>
          <w:szCs w:val="22"/>
        </w:rPr>
      </w:pPr>
      <w:r w:rsidRPr="00B10AF6">
        <w:rPr>
          <w:rFonts w:ascii="Arial" w:eastAsia="Calibri" w:hAnsi="Arial" w:cs="Arial"/>
          <w:b/>
          <w:sz w:val="22"/>
          <w:szCs w:val="22"/>
        </w:rPr>
        <w:t>Table 1 – Cost and Performance</w:t>
      </w:r>
    </w:p>
    <w:tbl>
      <w:tblPr>
        <w:tblStyle w:val="GridTable1Light"/>
        <w:tblW w:w="0" w:type="auto"/>
        <w:tblLook w:val="04A0" w:firstRow="1" w:lastRow="0" w:firstColumn="1" w:lastColumn="0" w:noHBand="0" w:noVBand="1"/>
      </w:tblPr>
      <w:tblGrid>
        <w:gridCol w:w="2605"/>
        <w:gridCol w:w="1980"/>
        <w:gridCol w:w="2790"/>
        <w:gridCol w:w="1975"/>
      </w:tblGrid>
      <w:tr w:rsidR="00B10AF6" w:rsidRPr="00B10AF6" w14:paraId="1E041651" w14:textId="77777777" w:rsidTr="002C47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05" w:type="dxa"/>
          </w:tcPr>
          <w:p w14:paraId="5D835F3B" w14:textId="77777777" w:rsidR="00B10AF6" w:rsidRPr="00B10AF6" w:rsidRDefault="00B10AF6" w:rsidP="002C47AE">
            <w:pPr>
              <w:spacing w:line="276" w:lineRule="auto"/>
              <w:rPr>
                <w:rFonts w:ascii="Arial" w:eastAsia="Calibri" w:hAnsi="Arial" w:cs="Arial"/>
                <w:b w:val="0"/>
                <w:sz w:val="22"/>
                <w:szCs w:val="22"/>
              </w:rPr>
            </w:pPr>
            <w:r w:rsidRPr="00B10AF6">
              <w:rPr>
                <w:rFonts w:ascii="Arial" w:eastAsia="Calibri" w:hAnsi="Arial" w:cs="Arial"/>
                <w:sz w:val="22"/>
                <w:szCs w:val="22"/>
              </w:rPr>
              <w:t>Synthea Data Set Size</w:t>
            </w:r>
          </w:p>
        </w:tc>
        <w:tc>
          <w:tcPr>
            <w:tcW w:w="1980" w:type="dxa"/>
          </w:tcPr>
          <w:p w14:paraId="13E93639" w14:textId="77777777" w:rsidR="00B10AF6" w:rsidRPr="00B10AF6" w:rsidRDefault="002C47AE" w:rsidP="002C47AE">
            <w:pPr>
              <w:spacing w:line="276" w:lineRule="auto"/>
              <w:cnfStyle w:val="100000000000" w:firstRow="1" w:lastRow="0" w:firstColumn="0" w:lastColumn="0" w:oddVBand="0" w:evenVBand="0" w:oddHBand="0" w:evenHBand="0" w:firstRowFirstColumn="0" w:firstRowLastColumn="0" w:lastRowFirstColumn="0" w:lastRowLastColumn="0"/>
              <w:rPr>
                <w:rFonts w:ascii="Arial" w:eastAsia="Calibri" w:hAnsi="Arial" w:cs="Arial"/>
                <w:b w:val="0"/>
                <w:sz w:val="22"/>
                <w:szCs w:val="22"/>
              </w:rPr>
            </w:pPr>
            <w:r>
              <w:rPr>
                <w:rFonts w:ascii="Arial" w:eastAsia="Calibri" w:hAnsi="Arial" w:cs="Arial"/>
                <w:sz w:val="22"/>
                <w:szCs w:val="22"/>
              </w:rPr>
              <w:t>Generation Time</w:t>
            </w:r>
          </w:p>
        </w:tc>
        <w:tc>
          <w:tcPr>
            <w:tcW w:w="2790" w:type="dxa"/>
          </w:tcPr>
          <w:p w14:paraId="74D1EFBC" w14:textId="77777777" w:rsidR="00B10AF6" w:rsidRPr="00B10AF6" w:rsidRDefault="002C47AE" w:rsidP="002C47AE">
            <w:pPr>
              <w:spacing w:line="276" w:lineRule="auto"/>
              <w:cnfStyle w:val="100000000000" w:firstRow="1" w:lastRow="0" w:firstColumn="0" w:lastColumn="0" w:oddVBand="0" w:evenVBand="0" w:oddHBand="0" w:evenHBand="0" w:firstRowFirstColumn="0" w:firstRowLastColumn="0" w:lastRowFirstColumn="0" w:lastRowLastColumn="0"/>
              <w:rPr>
                <w:rFonts w:ascii="Arial" w:eastAsia="Calibri" w:hAnsi="Arial" w:cs="Arial"/>
                <w:b w:val="0"/>
                <w:sz w:val="22"/>
                <w:szCs w:val="22"/>
              </w:rPr>
            </w:pPr>
            <w:r>
              <w:rPr>
                <w:rFonts w:ascii="Arial" w:eastAsia="Calibri" w:hAnsi="Arial" w:cs="Arial"/>
                <w:sz w:val="22"/>
                <w:szCs w:val="22"/>
              </w:rPr>
              <w:t>ETL Conversion Time</w:t>
            </w:r>
          </w:p>
        </w:tc>
        <w:tc>
          <w:tcPr>
            <w:tcW w:w="1975" w:type="dxa"/>
          </w:tcPr>
          <w:p w14:paraId="34E706FE" w14:textId="77777777" w:rsidR="00B10AF6" w:rsidRPr="00B10AF6" w:rsidRDefault="00B10AF6" w:rsidP="002C47AE">
            <w:pPr>
              <w:spacing w:line="276" w:lineRule="auto"/>
              <w:cnfStyle w:val="100000000000" w:firstRow="1" w:lastRow="0" w:firstColumn="0" w:lastColumn="0" w:oddVBand="0" w:evenVBand="0" w:oddHBand="0" w:evenHBand="0" w:firstRowFirstColumn="0" w:firstRowLastColumn="0" w:lastRowFirstColumn="0" w:lastRowLastColumn="0"/>
              <w:rPr>
                <w:rFonts w:ascii="Arial" w:eastAsia="Calibri" w:hAnsi="Arial" w:cs="Arial"/>
                <w:b w:val="0"/>
                <w:sz w:val="22"/>
                <w:szCs w:val="22"/>
              </w:rPr>
            </w:pPr>
            <w:r w:rsidRPr="00B10AF6">
              <w:rPr>
                <w:rFonts w:ascii="Arial" w:eastAsia="Calibri" w:hAnsi="Arial" w:cs="Arial"/>
                <w:sz w:val="22"/>
                <w:szCs w:val="22"/>
              </w:rPr>
              <w:t>Total AWS Cost</w:t>
            </w:r>
          </w:p>
        </w:tc>
      </w:tr>
      <w:tr w:rsidR="00B10AF6" w:rsidRPr="00B10AF6" w14:paraId="1FFB4E1A" w14:textId="77777777" w:rsidTr="002C47AE">
        <w:tc>
          <w:tcPr>
            <w:cnfStyle w:val="001000000000" w:firstRow="0" w:lastRow="0" w:firstColumn="1" w:lastColumn="0" w:oddVBand="0" w:evenVBand="0" w:oddHBand="0" w:evenHBand="0" w:firstRowFirstColumn="0" w:firstRowLastColumn="0" w:lastRowFirstColumn="0" w:lastRowLastColumn="0"/>
            <w:tcW w:w="2605" w:type="dxa"/>
          </w:tcPr>
          <w:p w14:paraId="1DD8E550" w14:textId="77777777" w:rsidR="00B10AF6" w:rsidRPr="00B10AF6" w:rsidRDefault="00B10AF6" w:rsidP="002C47AE">
            <w:pPr>
              <w:spacing w:line="276" w:lineRule="auto"/>
              <w:rPr>
                <w:rFonts w:ascii="Arial" w:eastAsia="Calibri" w:hAnsi="Arial" w:cs="Arial"/>
                <w:b w:val="0"/>
                <w:sz w:val="22"/>
                <w:szCs w:val="22"/>
              </w:rPr>
            </w:pPr>
            <w:r w:rsidRPr="00B10AF6">
              <w:rPr>
                <w:rFonts w:ascii="Arial" w:eastAsia="Calibri" w:hAnsi="Arial" w:cs="Arial"/>
                <w:sz w:val="22"/>
                <w:szCs w:val="22"/>
              </w:rPr>
              <w:t>100,000 patients</w:t>
            </w:r>
          </w:p>
        </w:tc>
        <w:tc>
          <w:tcPr>
            <w:tcW w:w="1980" w:type="dxa"/>
          </w:tcPr>
          <w:p w14:paraId="24E1F745" w14:textId="77777777" w:rsidR="00B10AF6" w:rsidRPr="00B10AF6" w:rsidRDefault="00B10AF6" w:rsidP="002C47AE">
            <w:pPr>
              <w:spacing w:line="276"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B10AF6">
              <w:rPr>
                <w:rFonts w:ascii="Arial" w:eastAsia="Calibri" w:hAnsi="Arial" w:cs="Arial"/>
                <w:sz w:val="22"/>
                <w:szCs w:val="22"/>
              </w:rPr>
              <w:t>25 minutes</w:t>
            </w:r>
          </w:p>
        </w:tc>
        <w:tc>
          <w:tcPr>
            <w:tcW w:w="2790" w:type="dxa"/>
          </w:tcPr>
          <w:p w14:paraId="0BD7D74E" w14:textId="77777777" w:rsidR="00B10AF6" w:rsidRPr="00B10AF6" w:rsidRDefault="00B10AF6" w:rsidP="002C47AE">
            <w:pPr>
              <w:spacing w:line="276"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B10AF6">
              <w:rPr>
                <w:rFonts w:ascii="Arial" w:eastAsia="Calibri" w:hAnsi="Arial" w:cs="Arial"/>
                <w:sz w:val="22"/>
                <w:szCs w:val="22"/>
              </w:rPr>
              <w:t>18 minutes</w:t>
            </w:r>
          </w:p>
        </w:tc>
        <w:tc>
          <w:tcPr>
            <w:tcW w:w="1975" w:type="dxa"/>
          </w:tcPr>
          <w:p w14:paraId="726B7884" w14:textId="77777777" w:rsidR="00B10AF6" w:rsidRPr="00B10AF6" w:rsidRDefault="00B10AF6" w:rsidP="002C47AE">
            <w:pPr>
              <w:spacing w:line="276"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B10AF6">
              <w:rPr>
                <w:rFonts w:ascii="Arial" w:eastAsia="Calibri" w:hAnsi="Arial" w:cs="Arial"/>
                <w:sz w:val="22"/>
                <w:szCs w:val="22"/>
              </w:rPr>
              <w:t>~$0.66</w:t>
            </w:r>
          </w:p>
        </w:tc>
      </w:tr>
      <w:tr w:rsidR="00B10AF6" w:rsidRPr="00B10AF6" w14:paraId="7BDE0C51" w14:textId="77777777" w:rsidTr="002C47AE">
        <w:tc>
          <w:tcPr>
            <w:cnfStyle w:val="001000000000" w:firstRow="0" w:lastRow="0" w:firstColumn="1" w:lastColumn="0" w:oddVBand="0" w:evenVBand="0" w:oddHBand="0" w:evenHBand="0" w:firstRowFirstColumn="0" w:firstRowLastColumn="0" w:lastRowFirstColumn="0" w:lastRowLastColumn="0"/>
            <w:tcW w:w="2605" w:type="dxa"/>
          </w:tcPr>
          <w:p w14:paraId="06EFEF86" w14:textId="77777777" w:rsidR="00B10AF6" w:rsidRPr="00B10AF6" w:rsidRDefault="00B10AF6" w:rsidP="002C47AE">
            <w:pPr>
              <w:spacing w:line="276" w:lineRule="auto"/>
              <w:rPr>
                <w:rFonts w:ascii="Arial" w:eastAsia="Calibri" w:hAnsi="Arial" w:cs="Arial"/>
                <w:b w:val="0"/>
                <w:sz w:val="22"/>
                <w:szCs w:val="22"/>
              </w:rPr>
            </w:pPr>
            <w:r w:rsidRPr="00B10AF6">
              <w:rPr>
                <w:rFonts w:ascii="Arial" w:eastAsia="Calibri" w:hAnsi="Arial" w:cs="Arial"/>
                <w:sz w:val="22"/>
                <w:szCs w:val="22"/>
              </w:rPr>
              <w:t>2.7M patients</w:t>
            </w:r>
          </w:p>
        </w:tc>
        <w:tc>
          <w:tcPr>
            <w:tcW w:w="1980" w:type="dxa"/>
          </w:tcPr>
          <w:p w14:paraId="3DC4A45F" w14:textId="77777777" w:rsidR="00B10AF6" w:rsidRPr="00B10AF6" w:rsidRDefault="00B10AF6" w:rsidP="002C47AE">
            <w:pPr>
              <w:spacing w:line="276"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B10AF6">
              <w:rPr>
                <w:rFonts w:ascii="Arial" w:eastAsia="Calibri" w:hAnsi="Arial" w:cs="Arial"/>
                <w:sz w:val="22"/>
                <w:szCs w:val="22"/>
              </w:rPr>
              <w:t>8 Hours</w:t>
            </w:r>
          </w:p>
        </w:tc>
        <w:tc>
          <w:tcPr>
            <w:tcW w:w="2790" w:type="dxa"/>
          </w:tcPr>
          <w:p w14:paraId="3BE2AF4C" w14:textId="77777777" w:rsidR="00B10AF6" w:rsidRPr="00B10AF6" w:rsidRDefault="00B10AF6" w:rsidP="002C47AE">
            <w:pPr>
              <w:spacing w:line="276"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B10AF6">
              <w:rPr>
                <w:rFonts w:ascii="Arial" w:eastAsia="Calibri" w:hAnsi="Arial" w:cs="Arial"/>
                <w:sz w:val="22"/>
                <w:szCs w:val="22"/>
              </w:rPr>
              <w:t>6 Hours</w:t>
            </w:r>
          </w:p>
        </w:tc>
        <w:tc>
          <w:tcPr>
            <w:tcW w:w="1975" w:type="dxa"/>
          </w:tcPr>
          <w:p w14:paraId="026BC7D6" w14:textId="77777777" w:rsidR="00B10AF6" w:rsidRPr="00B10AF6" w:rsidRDefault="00B10AF6" w:rsidP="002C47AE">
            <w:pPr>
              <w:spacing w:line="276" w:lineRule="auto"/>
              <w:cnfStyle w:val="000000000000" w:firstRow="0" w:lastRow="0" w:firstColumn="0" w:lastColumn="0" w:oddVBand="0" w:evenVBand="0" w:oddHBand="0" w:evenHBand="0" w:firstRowFirstColumn="0" w:firstRowLastColumn="0" w:lastRowFirstColumn="0" w:lastRowLastColumn="0"/>
              <w:rPr>
                <w:rFonts w:ascii="Arial" w:eastAsia="Calibri" w:hAnsi="Arial" w:cs="Arial"/>
                <w:sz w:val="22"/>
                <w:szCs w:val="22"/>
              </w:rPr>
            </w:pPr>
            <w:r w:rsidRPr="00B10AF6">
              <w:rPr>
                <w:rFonts w:ascii="Arial" w:eastAsia="Calibri" w:hAnsi="Arial" w:cs="Arial"/>
                <w:sz w:val="22"/>
                <w:szCs w:val="22"/>
              </w:rPr>
              <w:t>~$12.00</w:t>
            </w:r>
          </w:p>
        </w:tc>
      </w:tr>
    </w:tbl>
    <w:p w14:paraId="144C5A52" w14:textId="77777777" w:rsidR="00017883" w:rsidRDefault="00017883" w:rsidP="002C47AE">
      <w:pPr>
        <w:spacing w:line="276" w:lineRule="auto"/>
        <w:rPr>
          <w:rFonts w:ascii="Arial" w:eastAsia="Calibri" w:hAnsi="Arial" w:cs="Arial"/>
          <w:b/>
          <w:bCs/>
          <w:color w:val="000000" w:themeColor="text1"/>
          <w:sz w:val="22"/>
          <w:szCs w:val="22"/>
        </w:rPr>
      </w:pPr>
    </w:p>
    <w:p w14:paraId="5031BB8D" w14:textId="0BB7A753" w:rsidR="00B10AF6" w:rsidRPr="002C47AE" w:rsidRDefault="00B10AF6" w:rsidP="002C47AE">
      <w:pPr>
        <w:spacing w:line="276" w:lineRule="auto"/>
        <w:rPr>
          <w:rFonts w:ascii="Arial" w:eastAsia="Calibri" w:hAnsi="Arial" w:cs="Arial"/>
          <w:b/>
          <w:bCs/>
          <w:color w:val="000000" w:themeColor="text1"/>
          <w:sz w:val="22"/>
          <w:szCs w:val="22"/>
        </w:rPr>
      </w:pPr>
      <w:r w:rsidRPr="002C47AE">
        <w:rPr>
          <w:rFonts w:ascii="Arial" w:eastAsia="Calibri" w:hAnsi="Arial" w:cs="Arial"/>
          <w:b/>
          <w:bCs/>
          <w:color w:val="000000" w:themeColor="text1"/>
          <w:sz w:val="22"/>
          <w:szCs w:val="22"/>
        </w:rPr>
        <w:t>Conclusion</w:t>
      </w:r>
    </w:p>
    <w:p w14:paraId="38143356" w14:textId="51BE534F" w:rsidR="00B10AF6" w:rsidRPr="00B10AF6" w:rsidRDefault="00804791" w:rsidP="00105901">
      <w:pPr>
        <w:spacing w:line="276" w:lineRule="auto"/>
        <w:rPr>
          <w:rFonts w:ascii="Arial" w:eastAsia="Calibri" w:hAnsi="Arial" w:cs="Arial"/>
          <w:sz w:val="22"/>
          <w:szCs w:val="22"/>
        </w:rPr>
      </w:pPr>
      <w:r>
        <w:rPr>
          <w:rFonts w:ascii="Arial" w:eastAsia="Calibri" w:hAnsi="Arial" w:cs="Arial"/>
          <w:bCs/>
          <w:color w:val="000000" w:themeColor="text1"/>
          <w:sz w:val="22"/>
          <w:szCs w:val="22"/>
        </w:rPr>
        <w:t>Data sets were tested and shown to support use in WebAPI, ATLAS</w:t>
      </w:r>
      <w:r w:rsidR="00303571">
        <w:rPr>
          <w:rFonts w:ascii="Arial" w:eastAsia="Calibri" w:hAnsi="Arial" w:cs="Arial"/>
          <w:bCs/>
          <w:color w:val="000000" w:themeColor="text1"/>
          <w:sz w:val="22"/>
          <w:szCs w:val="22"/>
        </w:rPr>
        <w:t>, and</w:t>
      </w:r>
      <w:r>
        <w:rPr>
          <w:rFonts w:ascii="Arial" w:eastAsia="Calibri" w:hAnsi="Arial" w:cs="Arial"/>
          <w:bCs/>
          <w:color w:val="000000" w:themeColor="text1"/>
          <w:sz w:val="22"/>
          <w:szCs w:val="22"/>
        </w:rPr>
        <w:t xml:space="preserve"> R Methods Packages such as CohortMethod and FeatureExtraction.  </w:t>
      </w:r>
      <w:r w:rsidR="008F18A5">
        <w:rPr>
          <w:rFonts w:ascii="Arial" w:eastAsia="Calibri" w:hAnsi="Arial" w:cs="Arial"/>
          <w:sz w:val="22"/>
          <w:szCs w:val="22"/>
        </w:rPr>
        <w:t xml:space="preserve">Leveraging Synthea provides unique functionality previously lacking from any other simulated data approach including </w:t>
      </w:r>
      <w:r w:rsidR="00D659F4">
        <w:rPr>
          <w:rFonts w:ascii="Arial" w:eastAsia="Calibri" w:hAnsi="Arial" w:cs="Arial"/>
          <w:sz w:val="22"/>
          <w:szCs w:val="22"/>
        </w:rPr>
        <w:t xml:space="preserve">on demand updates, </w:t>
      </w:r>
      <w:r w:rsidR="008131ED">
        <w:rPr>
          <w:rFonts w:ascii="Arial" w:eastAsia="Calibri" w:hAnsi="Arial" w:cs="Arial"/>
          <w:sz w:val="22"/>
          <w:szCs w:val="22"/>
        </w:rPr>
        <w:t xml:space="preserve">scaling, and </w:t>
      </w:r>
      <w:r w:rsidR="00D659F4">
        <w:rPr>
          <w:rFonts w:ascii="Arial" w:eastAsia="Calibri" w:hAnsi="Arial" w:cs="Arial"/>
          <w:sz w:val="22"/>
          <w:szCs w:val="22"/>
        </w:rPr>
        <w:t>custom modules</w:t>
      </w:r>
      <w:r w:rsidR="008131ED">
        <w:rPr>
          <w:rFonts w:ascii="Arial" w:eastAsia="Calibri" w:hAnsi="Arial" w:cs="Arial"/>
          <w:sz w:val="22"/>
          <w:szCs w:val="22"/>
        </w:rPr>
        <w:t>.</w:t>
      </w:r>
      <w:r w:rsidR="00D659F4">
        <w:rPr>
          <w:rFonts w:ascii="Arial" w:eastAsia="Calibri" w:hAnsi="Arial" w:cs="Arial"/>
          <w:sz w:val="22"/>
          <w:szCs w:val="22"/>
        </w:rPr>
        <w:t xml:space="preserve"> </w:t>
      </w:r>
      <w:r w:rsidR="00EA0F9B">
        <w:rPr>
          <w:rFonts w:ascii="Arial" w:eastAsia="Calibri" w:hAnsi="Arial" w:cs="Arial"/>
          <w:sz w:val="22"/>
          <w:szCs w:val="22"/>
        </w:rPr>
        <w:t>Additionally,</w:t>
      </w:r>
      <w:r w:rsidR="008131ED">
        <w:rPr>
          <w:rFonts w:ascii="Arial" w:eastAsia="Calibri" w:hAnsi="Arial" w:cs="Arial"/>
          <w:sz w:val="22"/>
          <w:szCs w:val="22"/>
        </w:rPr>
        <w:t xml:space="preserve"> the </w:t>
      </w:r>
      <w:r w:rsidR="004779F4">
        <w:rPr>
          <w:rFonts w:ascii="Arial" w:eastAsia="Calibri" w:hAnsi="Arial" w:cs="Arial"/>
          <w:sz w:val="22"/>
          <w:szCs w:val="22"/>
        </w:rPr>
        <w:t xml:space="preserve">Synthea community is very active in integrating novel data attributes into their simulator </w:t>
      </w:r>
      <w:r w:rsidR="000F0A19">
        <w:rPr>
          <w:rFonts w:ascii="Arial" w:eastAsia="Calibri" w:hAnsi="Arial" w:cs="Arial"/>
          <w:sz w:val="22"/>
          <w:szCs w:val="22"/>
        </w:rPr>
        <w:t xml:space="preserve">that </w:t>
      </w:r>
      <w:r w:rsidR="004779F4">
        <w:rPr>
          <w:rFonts w:ascii="Arial" w:eastAsia="Calibri" w:hAnsi="Arial" w:cs="Arial"/>
          <w:sz w:val="22"/>
          <w:szCs w:val="22"/>
        </w:rPr>
        <w:t xml:space="preserve">can be leveraged by the OHDSI community in the future.  </w:t>
      </w:r>
      <w:r w:rsidR="000F0A19">
        <w:rPr>
          <w:rFonts w:ascii="Arial" w:eastAsia="Calibri" w:hAnsi="Arial" w:cs="Arial"/>
          <w:sz w:val="22"/>
          <w:szCs w:val="22"/>
        </w:rPr>
        <w:t>Ongoing</w:t>
      </w:r>
      <w:r w:rsidR="007F29BC">
        <w:rPr>
          <w:rFonts w:ascii="Arial" w:eastAsia="Calibri" w:hAnsi="Arial" w:cs="Arial"/>
          <w:sz w:val="22"/>
          <w:szCs w:val="22"/>
        </w:rPr>
        <w:t xml:space="preserve"> development of the ETL </w:t>
      </w:r>
      <w:r w:rsidR="00EF7855">
        <w:rPr>
          <w:rFonts w:ascii="Arial" w:eastAsia="Calibri" w:hAnsi="Arial" w:cs="Arial"/>
          <w:sz w:val="22"/>
          <w:szCs w:val="22"/>
        </w:rPr>
        <w:t xml:space="preserve">Synthea </w:t>
      </w:r>
      <w:r w:rsidR="007F29BC">
        <w:rPr>
          <w:rFonts w:ascii="Arial" w:eastAsia="Calibri" w:hAnsi="Arial" w:cs="Arial"/>
          <w:sz w:val="22"/>
          <w:szCs w:val="22"/>
        </w:rPr>
        <w:t xml:space="preserve">Builder </w:t>
      </w:r>
      <w:r w:rsidR="00EF7855">
        <w:rPr>
          <w:rFonts w:ascii="Arial" w:eastAsia="Calibri" w:hAnsi="Arial" w:cs="Arial"/>
          <w:sz w:val="22"/>
          <w:szCs w:val="22"/>
        </w:rPr>
        <w:t xml:space="preserve">package </w:t>
      </w:r>
      <w:r w:rsidR="007F29BC">
        <w:rPr>
          <w:rFonts w:ascii="Arial" w:eastAsia="Calibri" w:hAnsi="Arial" w:cs="Arial"/>
          <w:sz w:val="22"/>
          <w:szCs w:val="22"/>
        </w:rPr>
        <w:t xml:space="preserve">will ensure </w:t>
      </w:r>
      <w:r w:rsidR="00B83526">
        <w:rPr>
          <w:rFonts w:ascii="Arial" w:eastAsia="Calibri" w:hAnsi="Arial" w:cs="Arial"/>
          <w:sz w:val="22"/>
          <w:szCs w:val="22"/>
        </w:rPr>
        <w:t xml:space="preserve">availability of data in the 5.3, 5.3.1 and 6.0 CDM formats. </w:t>
      </w:r>
      <w:r w:rsidR="00B10AF6" w:rsidRPr="00B10AF6">
        <w:rPr>
          <w:rFonts w:ascii="Arial" w:eastAsia="Calibri" w:hAnsi="Arial" w:cs="Arial"/>
          <w:sz w:val="22"/>
          <w:szCs w:val="22"/>
        </w:rPr>
        <w:t xml:space="preserve">This solution provides </w:t>
      </w:r>
      <w:r w:rsidR="00490592">
        <w:rPr>
          <w:rFonts w:ascii="Arial" w:eastAsia="Calibri" w:hAnsi="Arial" w:cs="Arial"/>
          <w:sz w:val="22"/>
          <w:szCs w:val="22"/>
        </w:rPr>
        <w:t xml:space="preserve">a </w:t>
      </w:r>
      <w:r w:rsidR="00EA0F9B">
        <w:rPr>
          <w:rFonts w:ascii="Arial" w:eastAsia="Calibri" w:hAnsi="Arial" w:cs="Arial"/>
          <w:sz w:val="22"/>
          <w:szCs w:val="22"/>
        </w:rPr>
        <w:t>forward-looking</w:t>
      </w:r>
      <w:r w:rsidR="00BB17D2">
        <w:rPr>
          <w:rFonts w:ascii="Arial" w:eastAsia="Calibri" w:hAnsi="Arial" w:cs="Arial"/>
          <w:sz w:val="22"/>
          <w:szCs w:val="22"/>
        </w:rPr>
        <w:t xml:space="preserve"> approach</w:t>
      </w:r>
      <w:r w:rsidR="00B10AF6" w:rsidRPr="00B10AF6">
        <w:rPr>
          <w:rFonts w:ascii="Arial" w:eastAsia="Calibri" w:hAnsi="Arial" w:cs="Arial"/>
          <w:sz w:val="22"/>
          <w:szCs w:val="22"/>
        </w:rPr>
        <w:t xml:space="preserve"> to generating realistic, freely available, customizable, patient level data sets for use in OHDSI deployments</w:t>
      </w:r>
      <w:r w:rsidR="00E42082">
        <w:rPr>
          <w:rFonts w:ascii="Arial" w:eastAsia="Calibri" w:hAnsi="Arial" w:cs="Arial"/>
          <w:sz w:val="22"/>
          <w:szCs w:val="22"/>
        </w:rPr>
        <w:t xml:space="preserve"> to support training</w:t>
      </w:r>
      <w:r w:rsidR="00D86408">
        <w:rPr>
          <w:rFonts w:ascii="Arial" w:eastAsia="Calibri" w:hAnsi="Arial" w:cs="Arial"/>
          <w:sz w:val="22"/>
          <w:szCs w:val="22"/>
        </w:rPr>
        <w:t>,</w:t>
      </w:r>
      <w:r w:rsidR="00EA0F9B">
        <w:rPr>
          <w:rFonts w:ascii="Arial" w:eastAsia="Calibri" w:hAnsi="Arial" w:cs="Arial"/>
          <w:sz w:val="22"/>
          <w:szCs w:val="22"/>
        </w:rPr>
        <w:t xml:space="preserve"> </w:t>
      </w:r>
      <w:r w:rsidR="00E42082">
        <w:rPr>
          <w:rFonts w:ascii="Arial" w:eastAsia="Calibri" w:hAnsi="Arial" w:cs="Arial"/>
          <w:sz w:val="22"/>
          <w:szCs w:val="22"/>
        </w:rPr>
        <w:t>testing</w:t>
      </w:r>
      <w:r w:rsidR="00D86408">
        <w:rPr>
          <w:rFonts w:ascii="Arial" w:eastAsia="Calibri" w:hAnsi="Arial" w:cs="Arial"/>
          <w:sz w:val="22"/>
          <w:szCs w:val="22"/>
        </w:rPr>
        <w:t>, and development.</w:t>
      </w:r>
    </w:p>
    <w:p w14:paraId="7A02292E" w14:textId="0D79E264" w:rsidR="00B10AF6" w:rsidRDefault="00B10AF6" w:rsidP="00105901">
      <w:pPr>
        <w:jc w:val="center"/>
        <w:rPr>
          <w:rFonts w:ascii="Arial" w:eastAsia="Calibri" w:hAnsi="Arial" w:cs="Arial"/>
          <w:b/>
          <w:sz w:val="24"/>
          <w:szCs w:val="24"/>
        </w:rPr>
      </w:pPr>
      <w:r w:rsidRPr="00B10AF6">
        <w:rPr>
          <w:rFonts w:ascii="Arial" w:eastAsia="Calibri" w:hAnsi="Arial" w:cs="Arial"/>
          <w:b/>
          <w:sz w:val="24"/>
          <w:szCs w:val="24"/>
        </w:rPr>
        <w:lastRenderedPageBreak/>
        <w:t>References</w:t>
      </w:r>
    </w:p>
    <w:p w14:paraId="4B0744F5" w14:textId="77777777" w:rsidR="000E1272" w:rsidRDefault="000E1272" w:rsidP="00B10AF6">
      <w:pPr>
        <w:rPr>
          <w:rFonts w:ascii="Arial" w:eastAsia="Calibri" w:hAnsi="Arial" w:cs="Arial"/>
          <w:b/>
          <w:sz w:val="24"/>
          <w:szCs w:val="24"/>
        </w:rPr>
      </w:pPr>
    </w:p>
    <w:p w14:paraId="574EFCF8" w14:textId="77777777" w:rsidR="000E1272" w:rsidRDefault="000E1272" w:rsidP="00B10AF6">
      <w:pPr>
        <w:rPr>
          <w:rFonts w:ascii="Arial" w:eastAsia="Calibri" w:hAnsi="Arial" w:cs="Arial"/>
          <w:b/>
          <w:sz w:val="24"/>
          <w:szCs w:val="24"/>
        </w:rPr>
      </w:pPr>
    </w:p>
    <w:p w14:paraId="5861781F" w14:textId="77777777" w:rsidR="00335379" w:rsidRPr="00335379" w:rsidRDefault="000E1272" w:rsidP="00335379">
      <w:pPr>
        <w:pStyle w:val="EndNoteBibliography"/>
      </w:pPr>
      <w:r>
        <w:rPr>
          <w:rFonts w:ascii="Arial" w:eastAsia="Calibri" w:hAnsi="Arial" w:cs="Arial"/>
          <w:b/>
          <w:sz w:val="24"/>
          <w:szCs w:val="24"/>
        </w:rPr>
        <w:fldChar w:fldCharType="begin"/>
      </w:r>
      <w:r>
        <w:rPr>
          <w:rFonts w:ascii="Arial" w:eastAsia="Calibri" w:hAnsi="Arial" w:cs="Arial"/>
          <w:b/>
          <w:sz w:val="24"/>
          <w:szCs w:val="24"/>
        </w:rPr>
        <w:instrText xml:space="preserve"> ADDIN EN.REFLIST </w:instrText>
      </w:r>
      <w:r>
        <w:rPr>
          <w:rFonts w:ascii="Arial" w:eastAsia="Calibri" w:hAnsi="Arial" w:cs="Arial"/>
          <w:b/>
          <w:sz w:val="24"/>
          <w:szCs w:val="24"/>
        </w:rPr>
        <w:fldChar w:fldCharType="separate"/>
      </w:r>
      <w:r w:rsidR="00335379" w:rsidRPr="00335379">
        <w:t>1.</w:t>
      </w:r>
      <w:r w:rsidR="00335379" w:rsidRPr="00335379">
        <w:tab/>
        <w:t>Walonoski J, Kramer M, Nichols J, Quina A, Moesel C, Hall D, et al. Synthea: An approach, method, and software mechanism for generating synthetic patients and the synthetic electronic health care record. Journal of the American Medical Informatics Association. 2017;25(3):230-8.</w:t>
      </w:r>
    </w:p>
    <w:p w14:paraId="6D78DA30" w14:textId="39686A66" w:rsidR="00335379" w:rsidRPr="00335379" w:rsidRDefault="00335379" w:rsidP="00335379">
      <w:pPr>
        <w:pStyle w:val="EndNoteBibliography"/>
      </w:pPr>
      <w:r w:rsidRPr="00335379">
        <w:t>2.</w:t>
      </w:r>
      <w:r w:rsidRPr="00335379">
        <w:tab/>
        <w:t xml:space="preserve">Blacketer C, DeFalco F, Molinaro A. Synthea ETL Builder 2019 [Available from: </w:t>
      </w:r>
      <w:hyperlink r:id="rId12" w:history="1">
        <w:r w:rsidRPr="00335379">
          <w:rPr>
            <w:rStyle w:val="Hyperlink"/>
          </w:rPr>
          <w:t>https://github.com/ohdsi/etl-synthea</w:t>
        </w:r>
      </w:hyperlink>
      <w:r w:rsidRPr="00335379">
        <w:t>.</w:t>
      </w:r>
    </w:p>
    <w:p w14:paraId="649E03EE" w14:textId="0E2535A4" w:rsidR="00335379" w:rsidRPr="00335379" w:rsidRDefault="00335379" w:rsidP="00335379">
      <w:pPr>
        <w:pStyle w:val="EndNoteBibliography"/>
      </w:pPr>
      <w:r w:rsidRPr="00335379">
        <w:t>3.</w:t>
      </w:r>
      <w:r w:rsidRPr="00335379">
        <w:tab/>
        <w:t xml:space="preserve">Walonoski J. Synthea Generic Module Framework 2019 [Available from: </w:t>
      </w:r>
      <w:hyperlink r:id="rId13" w:history="1">
        <w:r w:rsidRPr="00335379">
          <w:rPr>
            <w:rStyle w:val="Hyperlink"/>
          </w:rPr>
          <w:t>https://github.com/synthetichealth/synthea/wiki/Generic-Module-Framework</w:t>
        </w:r>
      </w:hyperlink>
      <w:r w:rsidRPr="00335379">
        <w:t>.</w:t>
      </w:r>
    </w:p>
    <w:p w14:paraId="14EDE6C5" w14:textId="1E3760B5" w:rsidR="00335379" w:rsidRPr="00335379" w:rsidRDefault="00335379" w:rsidP="00335379">
      <w:pPr>
        <w:pStyle w:val="EndNoteBibliography"/>
      </w:pPr>
      <w:r w:rsidRPr="00335379">
        <w:t>4.</w:t>
      </w:r>
      <w:r w:rsidRPr="00335379">
        <w:tab/>
        <w:t xml:space="preserve">Schuemie M. 2019 [Available from: </w:t>
      </w:r>
      <w:hyperlink r:id="rId14" w:history="1">
        <w:r w:rsidRPr="00335379">
          <w:rPr>
            <w:rStyle w:val="Hyperlink"/>
          </w:rPr>
          <w:t>https://github.com/OHDSI/WhiteRabbit</w:t>
        </w:r>
      </w:hyperlink>
      <w:r w:rsidRPr="00335379">
        <w:t>.</w:t>
      </w:r>
    </w:p>
    <w:p w14:paraId="17EEDEF0" w14:textId="1D099D8D" w:rsidR="000E1272" w:rsidRDefault="000E1272" w:rsidP="00B10AF6">
      <w:pPr>
        <w:rPr>
          <w:rFonts w:ascii="Arial" w:eastAsia="Calibri" w:hAnsi="Arial" w:cs="Arial"/>
          <w:b/>
          <w:sz w:val="24"/>
          <w:szCs w:val="24"/>
        </w:rPr>
      </w:pPr>
      <w:r>
        <w:rPr>
          <w:rFonts w:ascii="Arial" w:eastAsia="Calibri" w:hAnsi="Arial" w:cs="Arial"/>
          <w:b/>
          <w:sz w:val="24"/>
          <w:szCs w:val="24"/>
        </w:rPr>
        <w:fldChar w:fldCharType="end"/>
      </w:r>
    </w:p>
    <w:sectPr w:rsidR="000E1272" w:rsidSect="00521296">
      <w:type w:val="continuous"/>
      <w:pgSz w:w="12240" w:h="15840"/>
      <w:pgMar w:top="720" w:right="720" w:bottom="720" w:left="720" w:header="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BAA93B" w14:textId="77777777" w:rsidR="00C3127A" w:rsidRDefault="00C3127A" w:rsidP="00B10AF6">
      <w:r>
        <w:separator/>
      </w:r>
    </w:p>
  </w:endnote>
  <w:endnote w:type="continuationSeparator" w:id="0">
    <w:p w14:paraId="7016B2A9" w14:textId="77777777" w:rsidR="00C3127A" w:rsidRDefault="00C3127A" w:rsidP="00B10AF6">
      <w:r>
        <w:continuationSeparator/>
      </w:r>
    </w:p>
  </w:endnote>
  <w:endnote w:type="continuationNotice" w:id="1">
    <w:p w14:paraId="375BE266" w14:textId="77777777" w:rsidR="00C3127A" w:rsidRDefault="00C312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D08F4E" w14:textId="77777777" w:rsidR="00C11002" w:rsidRDefault="00C3127A">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3FED86" w14:textId="77777777" w:rsidR="00C3127A" w:rsidRDefault="00C3127A" w:rsidP="00B10AF6">
      <w:r>
        <w:separator/>
      </w:r>
    </w:p>
  </w:footnote>
  <w:footnote w:type="continuationSeparator" w:id="0">
    <w:p w14:paraId="1D2E26AB" w14:textId="77777777" w:rsidR="00C3127A" w:rsidRDefault="00C3127A" w:rsidP="00B10AF6">
      <w:r>
        <w:continuationSeparator/>
      </w:r>
    </w:p>
  </w:footnote>
  <w:footnote w:type="continuationNotice" w:id="1">
    <w:p w14:paraId="7D893DCD" w14:textId="77777777" w:rsidR="00C3127A" w:rsidRDefault="00C3127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E46D85"/>
    <w:multiLevelType w:val="hybridMultilevel"/>
    <w:tmpl w:val="ACB2C4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2A63EE"/>
    <w:multiLevelType w:val="hybridMultilevel"/>
    <w:tmpl w:val="9C3892D0"/>
    <w:lvl w:ilvl="0" w:tplc="FA8A2868">
      <w:start w:val="6"/>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073A5B"/>
    <w:multiLevelType w:val="hybridMultilevel"/>
    <w:tmpl w:val="F4A29B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9B659C"/>
    <w:multiLevelType w:val="multilevel"/>
    <w:tmpl w:val="98AC804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oNotDisplayPageBoundaries/>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a29eap2fxs2ene5xscvevxw9t9d9xzrx9t2&quot;&gt;EndnoteLibrary&lt;record-ids&gt;&lt;item&gt;3&lt;/item&gt;&lt;item&gt;4&lt;/item&gt;&lt;item&gt;5&lt;/item&gt;&lt;item&gt;6&lt;/item&gt;&lt;/record-ids&gt;&lt;/item&gt;&lt;/Libraries&gt;"/>
  </w:docVars>
  <w:rsids>
    <w:rsidRoot w:val="00B10AF6"/>
    <w:rsid w:val="00017883"/>
    <w:rsid w:val="00055B7F"/>
    <w:rsid w:val="000E1272"/>
    <w:rsid w:val="000F0A19"/>
    <w:rsid w:val="00105901"/>
    <w:rsid w:val="00106964"/>
    <w:rsid w:val="00195B07"/>
    <w:rsid w:val="00227951"/>
    <w:rsid w:val="0023467B"/>
    <w:rsid w:val="002C47AE"/>
    <w:rsid w:val="00303571"/>
    <w:rsid w:val="00310A7F"/>
    <w:rsid w:val="0031588C"/>
    <w:rsid w:val="00335379"/>
    <w:rsid w:val="00344717"/>
    <w:rsid w:val="004416DA"/>
    <w:rsid w:val="004779F4"/>
    <w:rsid w:val="00490592"/>
    <w:rsid w:val="005355EB"/>
    <w:rsid w:val="00544E91"/>
    <w:rsid w:val="0055392E"/>
    <w:rsid w:val="00561952"/>
    <w:rsid w:val="00576E45"/>
    <w:rsid w:val="0059276F"/>
    <w:rsid w:val="005969F5"/>
    <w:rsid w:val="005D0493"/>
    <w:rsid w:val="005D09B5"/>
    <w:rsid w:val="0065654B"/>
    <w:rsid w:val="006A52B5"/>
    <w:rsid w:val="007D2B85"/>
    <w:rsid w:val="007F1905"/>
    <w:rsid w:val="007F29BC"/>
    <w:rsid w:val="00804791"/>
    <w:rsid w:val="008131ED"/>
    <w:rsid w:val="00831C12"/>
    <w:rsid w:val="008412B6"/>
    <w:rsid w:val="00885A94"/>
    <w:rsid w:val="008B7FE9"/>
    <w:rsid w:val="008F18A5"/>
    <w:rsid w:val="00A84125"/>
    <w:rsid w:val="00B10AF6"/>
    <w:rsid w:val="00B578FD"/>
    <w:rsid w:val="00B83526"/>
    <w:rsid w:val="00B84454"/>
    <w:rsid w:val="00BB17D2"/>
    <w:rsid w:val="00BB3689"/>
    <w:rsid w:val="00BC3D83"/>
    <w:rsid w:val="00BF558F"/>
    <w:rsid w:val="00C17AC9"/>
    <w:rsid w:val="00C3127A"/>
    <w:rsid w:val="00C922A1"/>
    <w:rsid w:val="00D273B5"/>
    <w:rsid w:val="00D659F4"/>
    <w:rsid w:val="00D86408"/>
    <w:rsid w:val="00DA5D72"/>
    <w:rsid w:val="00E268BE"/>
    <w:rsid w:val="00E40062"/>
    <w:rsid w:val="00E42082"/>
    <w:rsid w:val="00E5792A"/>
    <w:rsid w:val="00E62EDF"/>
    <w:rsid w:val="00EA0F9B"/>
    <w:rsid w:val="00EF7855"/>
    <w:rsid w:val="00FD7702"/>
    <w:rsid w:val="00FF48B0"/>
    <w:rsid w:val="01F11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92A05"/>
  <w15:chartTrackingRefBased/>
  <w15:docId w15:val="{2897C6F6-B31C-4533-8A5B-D1FF3D889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10AF6"/>
    <w:pPr>
      <w:widowControl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0AF6"/>
    <w:rPr>
      <w:color w:val="0563C1" w:themeColor="hyperlink"/>
      <w:u w:val="single"/>
    </w:rPr>
  </w:style>
  <w:style w:type="character" w:customStyle="1" w:styleId="normaltextrun">
    <w:name w:val="normaltextrun"/>
    <w:basedOn w:val="DefaultParagraphFont"/>
    <w:rsid w:val="00B10AF6"/>
  </w:style>
  <w:style w:type="character" w:customStyle="1" w:styleId="spellingerror">
    <w:name w:val="spellingerror"/>
    <w:basedOn w:val="DefaultParagraphFont"/>
    <w:rsid w:val="00B10AF6"/>
  </w:style>
  <w:style w:type="character" w:customStyle="1" w:styleId="eop">
    <w:name w:val="eop"/>
    <w:basedOn w:val="DefaultParagraphFont"/>
    <w:rsid w:val="00B10AF6"/>
  </w:style>
  <w:style w:type="paragraph" w:styleId="Header">
    <w:name w:val="header"/>
    <w:basedOn w:val="Normal"/>
    <w:link w:val="HeaderChar"/>
    <w:uiPriority w:val="99"/>
    <w:unhideWhenUsed/>
    <w:rsid w:val="00B10AF6"/>
    <w:pPr>
      <w:tabs>
        <w:tab w:val="center" w:pos="4680"/>
        <w:tab w:val="right" w:pos="9360"/>
      </w:tabs>
    </w:pPr>
  </w:style>
  <w:style w:type="character" w:customStyle="1" w:styleId="HeaderChar">
    <w:name w:val="Header Char"/>
    <w:basedOn w:val="DefaultParagraphFont"/>
    <w:link w:val="Header"/>
    <w:uiPriority w:val="99"/>
    <w:rsid w:val="00B10AF6"/>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B10AF6"/>
    <w:pPr>
      <w:tabs>
        <w:tab w:val="center" w:pos="4680"/>
        <w:tab w:val="right" w:pos="9360"/>
      </w:tabs>
    </w:pPr>
  </w:style>
  <w:style w:type="character" w:customStyle="1" w:styleId="FooterChar">
    <w:name w:val="Footer Char"/>
    <w:basedOn w:val="DefaultParagraphFont"/>
    <w:link w:val="Footer"/>
    <w:uiPriority w:val="99"/>
    <w:rsid w:val="00B10AF6"/>
    <w:rPr>
      <w:rFonts w:ascii="Times New Roman" w:eastAsia="Times New Roman" w:hAnsi="Times New Roman" w:cs="Times New Roman"/>
      <w:sz w:val="20"/>
      <w:szCs w:val="20"/>
    </w:rPr>
  </w:style>
  <w:style w:type="paragraph" w:styleId="NormalWeb">
    <w:name w:val="Normal (Web)"/>
    <w:basedOn w:val="Normal"/>
    <w:uiPriority w:val="99"/>
    <w:semiHidden/>
    <w:unhideWhenUsed/>
    <w:rsid w:val="00B10AF6"/>
    <w:pPr>
      <w:widowControl/>
      <w:spacing w:before="100" w:beforeAutospacing="1" w:after="100" w:afterAutospacing="1"/>
    </w:pPr>
    <w:rPr>
      <w:sz w:val="24"/>
      <w:szCs w:val="24"/>
    </w:rPr>
  </w:style>
  <w:style w:type="paragraph" w:styleId="ListParagraph">
    <w:name w:val="List Paragraph"/>
    <w:basedOn w:val="Normal"/>
    <w:uiPriority w:val="34"/>
    <w:qFormat/>
    <w:rsid w:val="00B10AF6"/>
    <w:pPr>
      <w:ind w:left="720"/>
      <w:contextualSpacing/>
    </w:pPr>
  </w:style>
  <w:style w:type="table" w:styleId="TableGrid">
    <w:name w:val="Table Grid"/>
    <w:basedOn w:val="TableNormal"/>
    <w:uiPriority w:val="39"/>
    <w:rsid w:val="00B10AF6"/>
    <w:pPr>
      <w:widowControl w:val="0"/>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B10AF6"/>
    <w:rPr>
      <w:rFonts w:ascii="Courier New" w:eastAsia="Times New Roman" w:hAnsi="Courier New" w:cs="Courier New"/>
      <w:sz w:val="20"/>
      <w:szCs w:val="20"/>
    </w:rPr>
  </w:style>
  <w:style w:type="table" w:styleId="GridTable1Light">
    <w:name w:val="Grid Table 1 Light"/>
    <w:basedOn w:val="TableNormal"/>
    <w:uiPriority w:val="46"/>
    <w:rsid w:val="00B10AF6"/>
    <w:pPr>
      <w:widowControl w:val="0"/>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itle">
    <w:name w:val="Title"/>
    <w:basedOn w:val="Normal"/>
    <w:next w:val="Normal"/>
    <w:link w:val="TitleChar"/>
    <w:uiPriority w:val="10"/>
    <w:qFormat/>
    <w:rsid w:val="00B10AF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0AF6"/>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5539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392E"/>
    <w:rPr>
      <w:rFonts w:ascii="Segoe UI" w:eastAsia="Times New Roman" w:hAnsi="Segoe UI" w:cs="Segoe UI"/>
      <w:sz w:val="18"/>
      <w:szCs w:val="18"/>
    </w:rPr>
  </w:style>
  <w:style w:type="paragraph" w:customStyle="1" w:styleId="EndNoteBibliographyTitle">
    <w:name w:val="EndNote Bibliography Title"/>
    <w:basedOn w:val="Normal"/>
    <w:link w:val="EndNoteBibliographyTitleChar"/>
    <w:rsid w:val="000E1272"/>
    <w:pPr>
      <w:jc w:val="center"/>
    </w:pPr>
    <w:rPr>
      <w:noProof/>
    </w:rPr>
  </w:style>
  <w:style w:type="character" w:customStyle="1" w:styleId="EndNoteBibliographyTitleChar">
    <w:name w:val="EndNote Bibliography Title Char"/>
    <w:basedOn w:val="DefaultParagraphFont"/>
    <w:link w:val="EndNoteBibliographyTitle"/>
    <w:rsid w:val="000E1272"/>
    <w:rPr>
      <w:rFonts w:ascii="Times New Roman" w:eastAsia="Times New Roman" w:hAnsi="Times New Roman" w:cs="Times New Roman"/>
      <w:noProof/>
      <w:sz w:val="20"/>
      <w:szCs w:val="20"/>
    </w:rPr>
  </w:style>
  <w:style w:type="paragraph" w:customStyle="1" w:styleId="EndNoteBibliography">
    <w:name w:val="EndNote Bibliography"/>
    <w:basedOn w:val="Normal"/>
    <w:link w:val="EndNoteBibliographyChar"/>
    <w:rsid w:val="000E1272"/>
    <w:rPr>
      <w:noProof/>
    </w:rPr>
  </w:style>
  <w:style w:type="character" w:customStyle="1" w:styleId="EndNoteBibliographyChar">
    <w:name w:val="EndNote Bibliography Char"/>
    <w:basedOn w:val="DefaultParagraphFont"/>
    <w:link w:val="EndNoteBibliography"/>
    <w:rsid w:val="000E1272"/>
    <w:rPr>
      <w:rFonts w:ascii="Times New Roman" w:eastAsia="Times New Roman" w:hAnsi="Times New Roman" w:cs="Times New Roman"/>
      <w:noProof/>
      <w:sz w:val="20"/>
      <w:szCs w:val="20"/>
    </w:rPr>
  </w:style>
  <w:style w:type="character" w:styleId="UnresolvedMention">
    <w:name w:val="Unresolved Mention"/>
    <w:basedOn w:val="DefaultParagraphFont"/>
    <w:uiPriority w:val="99"/>
    <w:semiHidden/>
    <w:unhideWhenUsed/>
    <w:rsid w:val="006565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ohdsi/etl-synthea" TargetMode="External"/><Relationship Id="rId13" Type="http://schemas.openxmlformats.org/officeDocument/2006/relationships/hyperlink" Target="https://github.com/synthetichealth/synthea/wiki/Generic-Module-Framework"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github.com/ohdsi/etl-synthe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github.com/OHDSI/WhiteRabb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1400</Words>
  <Characters>7981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Defalco, Frank [JRDUS]</dc:creator>
  <cp:keywords/>
  <dc:description/>
  <cp:lastModifiedBy>Sachson, Craig</cp:lastModifiedBy>
  <cp:revision>2</cp:revision>
  <dcterms:created xsi:type="dcterms:W3CDTF">2019-09-15T00:30:00Z</dcterms:created>
  <dcterms:modified xsi:type="dcterms:W3CDTF">2019-09-15T00:30:00Z</dcterms:modified>
</cp:coreProperties>
</file>