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45F960ED" w14:textId="7BA16E02" w:rsidR="00B808E2" w:rsidRPr="00B808E2" w:rsidRDefault="005B6A70" w:rsidP="00B808E2">
      <w:pPr>
        <w:pBdr>
          <w:top w:val="nil"/>
          <w:left w:val="nil"/>
          <w:bottom w:val="nil"/>
          <w:right w:val="nil"/>
          <w:between w:val="nil"/>
        </w:pBdr>
        <w:spacing w:after="280"/>
        <w:jc w:val="center"/>
        <w:rPr>
          <w:rFonts w:eastAsia="Calibri"/>
          <w:b/>
          <w:color w:val="000000"/>
          <w:sz w:val="24"/>
          <w:szCs w:val="24"/>
        </w:rPr>
      </w:pPr>
      <w:r w:rsidRPr="005B6A70">
        <w:rPr>
          <w:rFonts w:eastAsia="Calibri"/>
          <w:b/>
          <w:color w:val="000000"/>
          <w:sz w:val="24"/>
          <w:szCs w:val="24"/>
        </w:rPr>
        <w:t>OHDSI-enabled distributed network analysis for clinical trial feasibility: a collaborative case study to inform a pediatrics randomized trial</w:t>
      </w:r>
      <w:r w:rsidR="009C75E6">
        <w:rPr>
          <w:rFonts w:eastAsia="Calibri"/>
          <w:b/>
          <w:color w:val="000000"/>
          <w:sz w:val="24"/>
          <w:szCs w:val="24"/>
        </w:rPr>
        <w:t>.</w:t>
      </w:r>
    </w:p>
    <w:p w14:paraId="565F704E" w14:textId="5E841A81" w:rsidR="00B808E2" w:rsidRPr="00DB4BAF" w:rsidRDefault="00B808E2" w:rsidP="00DB4BAF">
      <w:pPr>
        <w:pStyle w:val="AMIAAuthors"/>
        <w:rPr>
          <w:szCs w:val="24"/>
        </w:rPr>
      </w:pPr>
      <w:r w:rsidRPr="00B808E2">
        <w:rPr>
          <w:szCs w:val="24"/>
        </w:rPr>
        <w:t xml:space="preserve">Rupa Makadia, </w:t>
      </w:r>
      <w:r w:rsidR="005B6A70">
        <w:rPr>
          <w:szCs w:val="24"/>
        </w:rPr>
        <w:t xml:space="preserve">PhD, </w:t>
      </w:r>
      <w:r w:rsidRPr="00B808E2">
        <w:rPr>
          <w:szCs w:val="24"/>
        </w:rPr>
        <w:t>MS</w:t>
      </w:r>
      <w:r w:rsidRPr="00B808E2">
        <w:rPr>
          <w:szCs w:val="24"/>
          <w:vertAlign w:val="superscript"/>
        </w:rPr>
        <w:t>1</w:t>
      </w:r>
      <w:r w:rsidR="00A6307C">
        <w:rPr>
          <w:szCs w:val="24"/>
          <w:vertAlign w:val="superscript"/>
        </w:rPr>
        <w:t>,2</w:t>
      </w:r>
      <w:r w:rsidRPr="00B808E2">
        <w:rPr>
          <w:szCs w:val="24"/>
        </w:rPr>
        <w:t xml:space="preserve">, </w:t>
      </w:r>
      <w:r w:rsidR="006A25F8" w:rsidRPr="006A25F8">
        <w:rPr>
          <w:szCs w:val="24"/>
        </w:rPr>
        <w:t>Hanieh Razzaghi</w:t>
      </w:r>
      <w:r w:rsidR="00F23BCC">
        <w:rPr>
          <w:szCs w:val="24"/>
        </w:rPr>
        <w:t>, MPH</w:t>
      </w:r>
      <w:r w:rsidR="0066233E" w:rsidRPr="0066233E">
        <w:rPr>
          <w:szCs w:val="24"/>
          <w:vertAlign w:val="superscript"/>
        </w:rPr>
        <w:t>2</w:t>
      </w:r>
      <w:r w:rsidR="0066233E">
        <w:rPr>
          <w:szCs w:val="24"/>
          <w:vertAlign w:val="superscript"/>
        </w:rPr>
        <w:t>,4</w:t>
      </w:r>
      <w:r w:rsidR="00925451">
        <w:rPr>
          <w:szCs w:val="24"/>
        </w:rPr>
        <w:t xml:space="preserve">, </w:t>
      </w:r>
      <w:r w:rsidRPr="00B808E2">
        <w:rPr>
          <w:szCs w:val="24"/>
        </w:rPr>
        <w:t>Patrick B. Ryan, PhD</w:t>
      </w:r>
      <w:r w:rsidRPr="00B808E2">
        <w:rPr>
          <w:szCs w:val="24"/>
          <w:vertAlign w:val="superscript"/>
        </w:rPr>
        <w:t>1</w:t>
      </w:r>
      <w:r w:rsidR="00A6307C">
        <w:rPr>
          <w:szCs w:val="24"/>
          <w:vertAlign w:val="superscript"/>
        </w:rPr>
        <w:t>-</w:t>
      </w:r>
      <w:r w:rsidR="009C67EC">
        <w:rPr>
          <w:szCs w:val="24"/>
          <w:vertAlign w:val="superscript"/>
        </w:rPr>
        <w:t>3</w:t>
      </w:r>
      <w:r w:rsidR="009C67EC">
        <w:rPr>
          <w:szCs w:val="24"/>
        </w:rPr>
        <w:t xml:space="preserve">, </w:t>
      </w:r>
      <w:r w:rsidR="00F23BCC">
        <w:rPr>
          <w:szCs w:val="24"/>
        </w:rPr>
        <w:t xml:space="preserve">L. </w:t>
      </w:r>
      <w:r w:rsidR="009C67EC">
        <w:rPr>
          <w:szCs w:val="24"/>
        </w:rPr>
        <w:t>Charl</w:t>
      </w:r>
      <w:r w:rsidR="00F23BCC">
        <w:rPr>
          <w:szCs w:val="24"/>
        </w:rPr>
        <w:t>es</w:t>
      </w:r>
      <w:r w:rsidR="005143B2">
        <w:rPr>
          <w:szCs w:val="24"/>
        </w:rPr>
        <w:t xml:space="preserve"> Bailey</w:t>
      </w:r>
      <w:r w:rsidR="009C67EC">
        <w:rPr>
          <w:szCs w:val="24"/>
        </w:rPr>
        <w:t>, MD</w:t>
      </w:r>
      <w:r w:rsidR="00F23BCC">
        <w:rPr>
          <w:szCs w:val="24"/>
        </w:rPr>
        <w:t>, PhD</w:t>
      </w:r>
      <w:r w:rsidR="0066233E">
        <w:rPr>
          <w:szCs w:val="24"/>
          <w:vertAlign w:val="superscript"/>
        </w:rPr>
        <w:t>2,4</w:t>
      </w:r>
    </w:p>
    <w:p w14:paraId="26645500" w14:textId="77777777" w:rsidR="00A349F5" w:rsidRPr="00A349F5" w:rsidRDefault="00A349F5" w:rsidP="00A349F5">
      <w:pPr>
        <w:pStyle w:val="NoSpacing"/>
      </w:pPr>
    </w:p>
    <w:p w14:paraId="721DB3B8" w14:textId="620BD79B" w:rsidR="00B96C20" w:rsidRPr="00A349F5" w:rsidRDefault="00A6307C" w:rsidP="00A349F5">
      <w:pPr>
        <w:pStyle w:val="AMIAAuthors"/>
        <w:rPr>
          <w:szCs w:val="24"/>
        </w:rPr>
        <w:sectPr w:rsidR="00B96C20" w:rsidRPr="00A349F5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0" w:footer="720" w:gutter="0"/>
          <w:pgNumType w:start="1"/>
          <w:cols w:space="720"/>
        </w:sectPr>
      </w:pPr>
      <w:r w:rsidRPr="00A349F5">
        <w:rPr>
          <w:szCs w:val="24"/>
          <w:vertAlign w:val="superscript"/>
        </w:rPr>
        <w:t>1</w:t>
      </w:r>
      <w:r w:rsidR="00B808E2" w:rsidRPr="00A6307C">
        <w:rPr>
          <w:szCs w:val="24"/>
        </w:rPr>
        <w:t>Janssen Research and Development, Titusville, NJ;</w:t>
      </w:r>
      <w:r w:rsidRPr="00A6307C">
        <w:rPr>
          <w:szCs w:val="24"/>
        </w:rPr>
        <w:t xml:space="preserve"> </w:t>
      </w:r>
      <w:r w:rsidRPr="00A349F5">
        <w:rPr>
          <w:szCs w:val="24"/>
          <w:vertAlign w:val="superscript"/>
        </w:rPr>
        <w:t>2</w:t>
      </w:r>
      <w:r w:rsidRPr="00A6307C">
        <w:rPr>
          <w:szCs w:val="24"/>
        </w:rPr>
        <w:t xml:space="preserve">Observational Health Data Sciences and Informatics (OHDSI), New York, NY; </w:t>
      </w:r>
      <w:r w:rsidR="000D40CE" w:rsidRPr="00A349F5">
        <w:rPr>
          <w:szCs w:val="24"/>
          <w:vertAlign w:val="superscript"/>
        </w:rPr>
        <w:t>3</w:t>
      </w:r>
      <w:r w:rsidRPr="00A6307C">
        <w:rPr>
          <w:szCs w:val="24"/>
        </w:rPr>
        <w:t>Columbia University, New York, NY</w:t>
      </w:r>
      <w:r w:rsidR="009C67EC">
        <w:rPr>
          <w:szCs w:val="24"/>
        </w:rPr>
        <w:t xml:space="preserve">; </w:t>
      </w:r>
      <w:r w:rsidR="009C67EC" w:rsidRPr="009C67EC">
        <w:rPr>
          <w:szCs w:val="24"/>
          <w:vertAlign w:val="superscript"/>
        </w:rPr>
        <w:t>4</w:t>
      </w:r>
      <w:r w:rsidR="009C67EC">
        <w:rPr>
          <w:szCs w:val="24"/>
        </w:rPr>
        <w:t xml:space="preserve"> Children’s Hospital of Philadelphia</w:t>
      </w:r>
      <w:r w:rsidR="003746ED">
        <w:rPr>
          <w:szCs w:val="24"/>
        </w:rPr>
        <w:t>, Philadelphia, PA</w:t>
      </w:r>
    </w:p>
    <w:p w14:paraId="6F7BC5B1" w14:textId="77777777" w:rsidR="006B5875" w:rsidRPr="00124D3C" w:rsidRDefault="006B5875" w:rsidP="006B5875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eastAsia="Calibri"/>
          <w:color w:val="000000"/>
          <w:szCs w:val="22"/>
        </w:rPr>
      </w:pPr>
      <w:r w:rsidRPr="00124D3C">
        <w:rPr>
          <w:rFonts w:eastAsia="Calibri"/>
          <w:color w:val="000000"/>
          <w:szCs w:val="22"/>
        </w:rPr>
        <w:t>Is this the first time you have submitted your work to be displayed at any OHDSI Symposium?</w:t>
      </w:r>
    </w:p>
    <w:p w14:paraId="7884880F" w14:textId="5D6779FF" w:rsidR="00A349F5" w:rsidRPr="00124D3C" w:rsidRDefault="006B5875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eastAsia="Calibri"/>
          <w:color w:val="000000"/>
          <w:szCs w:val="22"/>
        </w:rPr>
      </w:pPr>
      <w:r w:rsidRPr="00124D3C">
        <w:rPr>
          <w:rFonts w:eastAsia="Calibri"/>
          <w:color w:val="000000"/>
          <w:szCs w:val="22"/>
        </w:rPr>
        <w:t xml:space="preserve"> </w:t>
      </w:r>
      <w:proofErr w:type="gramStart"/>
      <w:r w:rsidRPr="00124D3C">
        <w:rPr>
          <w:rFonts w:eastAsia="Calibri"/>
          <w:color w:val="000000"/>
          <w:szCs w:val="22"/>
        </w:rPr>
        <w:t>Yes  _</w:t>
      </w:r>
      <w:proofErr w:type="gramEnd"/>
      <w:r w:rsidRPr="00124D3C">
        <w:rPr>
          <w:rFonts w:eastAsia="Calibri"/>
          <w:color w:val="000000"/>
          <w:szCs w:val="22"/>
        </w:rPr>
        <w:t xml:space="preserve">____  </w:t>
      </w:r>
      <w:proofErr w:type="spellStart"/>
      <w:r w:rsidRPr="00124D3C">
        <w:rPr>
          <w:rFonts w:eastAsia="Calibri"/>
          <w:color w:val="000000"/>
          <w:szCs w:val="22"/>
        </w:rPr>
        <w:t>No__X</w:t>
      </w:r>
      <w:proofErr w:type="spellEnd"/>
      <w:r w:rsidRPr="00124D3C">
        <w:rPr>
          <w:rFonts w:eastAsia="Calibri"/>
          <w:color w:val="000000"/>
          <w:szCs w:val="22"/>
        </w:rPr>
        <w:t>___</w:t>
      </w:r>
    </w:p>
    <w:p w14:paraId="0F64AF26" w14:textId="77777777" w:rsidR="00B96C20" w:rsidRPr="00BC65A4" w:rsidRDefault="007D057B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eastAsia="Calibri"/>
          <w:b/>
          <w:color w:val="000000"/>
          <w:sz w:val="24"/>
          <w:szCs w:val="22"/>
        </w:rPr>
      </w:pPr>
      <w:r w:rsidRPr="00BC65A4">
        <w:rPr>
          <w:rFonts w:eastAsia="Calibri"/>
          <w:b/>
          <w:color w:val="000000"/>
          <w:sz w:val="24"/>
          <w:szCs w:val="22"/>
        </w:rPr>
        <w:t>Abstract</w:t>
      </w:r>
    </w:p>
    <w:p w14:paraId="368EFC06" w14:textId="7D777DE9" w:rsidR="009F20A2" w:rsidRDefault="003746ED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i/>
          <w:sz w:val="22"/>
        </w:rPr>
      </w:pPr>
      <w:r>
        <w:rPr>
          <w:i/>
          <w:sz w:val="22"/>
        </w:rPr>
        <w:t>Clinical trial recruitment</w:t>
      </w:r>
      <w:r w:rsidR="00DC2272">
        <w:rPr>
          <w:i/>
          <w:sz w:val="22"/>
        </w:rPr>
        <w:t xml:space="preserve"> can be severely compromised by mismatch between study design and available </w:t>
      </w:r>
      <w:r w:rsidR="005B6A70">
        <w:rPr>
          <w:i/>
          <w:sz w:val="22"/>
        </w:rPr>
        <w:t>participants</w:t>
      </w:r>
      <w:r w:rsidR="00DC2272">
        <w:rPr>
          <w:i/>
          <w:sz w:val="22"/>
        </w:rPr>
        <w:t xml:space="preserve">.  The availability of “real world” data provides an opportunity to minimize this gap early in the trial lifecycle.  </w:t>
      </w:r>
      <w:r w:rsidR="009B644A" w:rsidRPr="009B644A">
        <w:rPr>
          <w:i/>
          <w:sz w:val="22"/>
        </w:rPr>
        <w:t xml:space="preserve">This study presents </w:t>
      </w:r>
      <w:r w:rsidR="00817F07">
        <w:rPr>
          <w:i/>
          <w:sz w:val="22"/>
        </w:rPr>
        <w:t>a two-site</w:t>
      </w:r>
      <w:r w:rsidR="0040000D">
        <w:rPr>
          <w:i/>
          <w:sz w:val="22"/>
        </w:rPr>
        <w:t xml:space="preserve"> (U.S. claims networks and hospital network)</w:t>
      </w:r>
      <w:r w:rsidR="00817F07">
        <w:rPr>
          <w:i/>
          <w:sz w:val="22"/>
        </w:rPr>
        <w:t xml:space="preserve"> analysis</w:t>
      </w:r>
      <w:r w:rsidR="009B644A" w:rsidRPr="009B644A">
        <w:rPr>
          <w:i/>
          <w:sz w:val="22"/>
        </w:rPr>
        <w:t xml:space="preserve"> using </w:t>
      </w:r>
      <w:r w:rsidR="0040000D">
        <w:rPr>
          <w:i/>
          <w:sz w:val="22"/>
        </w:rPr>
        <w:t xml:space="preserve">the </w:t>
      </w:r>
      <w:r w:rsidR="009B644A" w:rsidRPr="009B644A">
        <w:rPr>
          <w:i/>
          <w:sz w:val="22"/>
        </w:rPr>
        <w:t>OHDSI tools</w:t>
      </w:r>
      <w:r w:rsidR="0040000D">
        <w:rPr>
          <w:i/>
          <w:sz w:val="22"/>
        </w:rPr>
        <w:t>et</w:t>
      </w:r>
      <w:r w:rsidR="009B644A" w:rsidRPr="009B644A">
        <w:rPr>
          <w:i/>
          <w:sz w:val="22"/>
        </w:rPr>
        <w:t xml:space="preserve"> (OMOP common data model (CDM) and ATLAS)</w:t>
      </w:r>
      <w:r w:rsidR="004F0B46">
        <w:rPr>
          <w:i/>
          <w:sz w:val="22"/>
        </w:rPr>
        <w:t xml:space="preserve"> </w:t>
      </w:r>
      <w:r w:rsidR="0040000D">
        <w:rPr>
          <w:i/>
          <w:sz w:val="22"/>
        </w:rPr>
        <w:t>to conduct</w:t>
      </w:r>
      <w:r w:rsidR="004F0B46">
        <w:rPr>
          <w:i/>
          <w:sz w:val="22"/>
        </w:rPr>
        <w:t xml:space="preserve"> clinical trial </w:t>
      </w:r>
      <w:r w:rsidR="00C26F1F">
        <w:rPr>
          <w:i/>
          <w:sz w:val="22"/>
        </w:rPr>
        <w:t>feasibility</w:t>
      </w:r>
      <w:r w:rsidR="00DC2272">
        <w:rPr>
          <w:i/>
          <w:sz w:val="22"/>
        </w:rPr>
        <w:t xml:space="preserve"> based on the protocol </w:t>
      </w:r>
      <w:r w:rsidR="00DC2272" w:rsidRPr="00DC2272">
        <w:rPr>
          <w:i/>
          <w:sz w:val="22"/>
        </w:rPr>
        <w:t>for an ongoing phase III randomized study to investigate the efficacy and safety of canagliflozin in a type II diabetic pediatric population</w:t>
      </w:r>
      <w:r w:rsidR="009B644A" w:rsidRPr="009B644A">
        <w:rPr>
          <w:i/>
          <w:sz w:val="22"/>
        </w:rPr>
        <w:t>. We generate</w:t>
      </w:r>
      <w:r w:rsidR="00C26F1F">
        <w:rPr>
          <w:i/>
          <w:sz w:val="22"/>
        </w:rPr>
        <w:t>d</w:t>
      </w:r>
      <w:r w:rsidR="009B644A" w:rsidRPr="009B644A">
        <w:rPr>
          <w:i/>
          <w:sz w:val="22"/>
        </w:rPr>
        <w:t xml:space="preserve"> cohorts in</w:t>
      </w:r>
      <w:r w:rsidR="004B5F89">
        <w:rPr>
          <w:i/>
          <w:sz w:val="22"/>
        </w:rPr>
        <w:t xml:space="preserve"> 3</w:t>
      </w:r>
      <w:r w:rsidR="009B644A" w:rsidRPr="009B644A">
        <w:rPr>
          <w:i/>
          <w:sz w:val="22"/>
        </w:rPr>
        <w:t xml:space="preserve"> </w:t>
      </w:r>
      <w:r w:rsidR="0066233E">
        <w:rPr>
          <w:i/>
          <w:sz w:val="22"/>
        </w:rPr>
        <w:t xml:space="preserve">large de-identified </w:t>
      </w:r>
      <w:r w:rsidR="009F20A2">
        <w:rPr>
          <w:i/>
          <w:sz w:val="22"/>
        </w:rPr>
        <w:t xml:space="preserve">US </w:t>
      </w:r>
      <w:r w:rsidR="0066233E">
        <w:rPr>
          <w:i/>
          <w:sz w:val="22"/>
        </w:rPr>
        <w:t xml:space="preserve">claims </w:t>
      </w:r>
      <w:r w:rsidR="009F20A2">
        <w:rPr>
          <w:i/>
          <w:sz w:val="22"/>
        </w:rPr>
        <w:t>datasets</w:t>
      </w:r>
      <w:r w:rsidR="00C26F1F">
        <w:rPr>
          <w:i/>
          <w:sz w:val="22"/>
        </w:rPr>
        <w:t xml:space="preserve"> and the PEDSnet </w:t>
      </w:r>
      <w:r w:rsidR="00436478">
        <w:rPr>
          <w:i/>
          <w:sz w:val="22"/>
        </w:rPr>
        <w:t xml:space="preserve">hospital </w:t>
      </w:r>
      <w:r w:rsidR="004B5F89">
        <w:rPr>
          <w:i/>
          <w:sz w:val="22"/>
        </w:rPr>
        <w:t xml:space="preserve">by </w:t>
      </w:r>
      <w:r w:rsidR="00DC2272">
        <w:rPr>
          <w:i/>
          <w:sz w:val="22"/>
        </w:rPr>
        <w:t>approximating eligibility</w:t>
      </w:r>
      <w:r w:rsidR="004B5F89">
        <w:rPr>
          <w:i/>
          <w:sz w:val="22"/>
        </w:rPr>
        <w:t xml:space="preserve"> criteria</w:t>
      </w:r>
      <w:r w:rsidR="009B644A" w:rsidRPr="009B644A">
        <w:rPr>
          <w:i/>
          <w:sz w:val="22"/>
        </w:rPr>
        <w:t>.</w:t>
      </w:r>
      <w:r w:rsidR="004B5F89">
        <w:rPr>
          <w:i/>
          <w:sz w:val="22"/>
        </w:rPr>
        <w:t xml:space="preserve"> </w:t>
      </w:r>
      <w:r w:rsidR="00DC2272">
        <w:rPr>
          <w:i/>
          <w:sz w:val="22"/>
        </w:rPr>
        <w:t xml:space="preserve">This provided estimates of eligible cohort size and attrition due to specific eligibility criteria.  We extended the </w:t>
      </w:r>
      <w:r w:rsidR="005B6A70">
        <w:rPr>
          <w:i/>
          <w:sz w:val="22"/>
        </w:rPr>
        <w:t>assessment</w:t>
      </w:r>
      <w:r w:rsidR="00DC2272">
        <w:rPr>
          <w:i/>
          <w:sz w:val="22"/>
        </w:rPr>
        <w:t xml:space="preserve"> by performing</w:t>
      </w:r>
      <w:r w:rsidR="004B5F89">
        <w:rPr>
          <w:i/>
          <w:sz w:val="22"/>
        </w:rPr>
        <w:t xml:space="preserve"> sensitivity </w:t>
      </w:r>
      <w:r w:rsidR="00081C97">
        <w:rPr>
          <w:i/>
          <w:sz w:val="22"/>
        </w:rPr>
        <w:t xml:space="preserve">analyses </w:t>
      </w:r>
      <w:r w:rsidR="00DC2272">
        <w:rPr>
          <w:i/>
          <w:sz w:val="22"/>
        </w:rPr>
        <w:t xml:space="preserve">of variations </w:t>
      </w:r>
      <w:r w:rsidR="009F20A2">
        <w:rPr>
          <w:i/>
          <w:sz w:val="22"/>
        </w:rPr>
        <w:t xml:space="preserve">on selected </w:t>
      </w:r>
      <w:r w:rsidR="00DC2272">
        <w:rPr>
          <w:i/>
          <w:sz w:val="22"/>
        </w:rPr>
        <w:t xml:space="preserve">criteria, </w:t>
      </w:r>
      <w:r w:rsidR="00817757">
        <w:rPr>
          <w:i/>
          <w:sz w:val="22"/>
        </w:rPr>
        <w:t>examining</w:t>
      </w:r>
      <w:r w:rsidR="00DC2272">
        <w:rPr>
          <w:i/>
          <w:sz w:val="22"/>
        </w:rPr>
        <w:t xml:space="preserve"> </w:t>
      </w:r>
      <w:r w:rsidR="00817757">
        <w:rPr>
          <w:i/>
          <w:sz w:val="22"/>
        </w:rPr>
        <w:t>their</w:t>
      </w:r>
      <w:r w:rsidR="004B5F89">
        <w:rPr>
          <w:i/>
          <w:sz w:val="22"/>
        </w:rPr>
        <w:t xml:space="preserve"> impact </w:t>
      </w:r>
      <w:r w:rsidR="00817757">
        <w:rPr>
          <w:i/>
          <w:sz w:val="22"/>
        </w:rPr>
        <w:t xml:space="preserve">on </w:t>
      </w:r>
      <w:r w:rsidR="004B5F89">
        <w:rPr>
          <w:i/>
          <w:sz w:val="22"/>
        </w:rPr>
        <w:t>feasibility</w:t>
      </w:r>
      <w:r w:rsidR="005F6347">
        <w:rPr>
          <w:i/>
          <w:sz w:val="22"/>
        </w:rPr>
        <w:t xml:space="preserve"> from the 4 databases analyzed</w:t>
      </w:r>
      <w:r w:rsidR="004B5F89">
        <w:rPr>
          <w:i/>
          <w:sz w:val="22"/>
        </w:rPr>
        <w:t>.</w:t>
      </w:r>
      <w:r w:rsidR="009B644A" w:rsidRPr="009B644A">
        <w:rPr>
          <w:i/>
          <w:sz w:val="22"/>
        </w:rPr>
        <w:t xml:space="preserve"> </w:t>
      </w:r>
      <w:r w:rsidR="0040000D">
        <w:rPr>
          <w:i/>
          <w:sz w:val="22"/>
        </w:rPr>
        <w:t xml:space="preserve">By </w:t>
      </w:r>
      <w:r w:rsidR="00BA4AA6">
        <w:rPr>
          <w:i/>
          <w:sz w:val="22"/>
        </w:rPr>
        <w:t>u</w:t>
      </w:r>
      <w:r w:rsidR="009B644A" w:rsidRPr="009B644A">
        <w:rPr>
          <w:i/>
          <w:sz w:val="22"/>
        </w:rPr>
        <w:t xml:space="preserve">tilizing the OHDSI suite of tools, we </w:t>
      </w:r>
      <w:r w:rsidR="00817757">
        <w:rPr>
          <w:i/>
          <w:sz w:val="22"/>
        </w:rPr>
        <w:t>were able to</w:t>
      </w:r>
      <w:r w:rsidR="00817757" w:rsidRPr="009B644A">
        <w:rPr>
          <w:i/>
          <w:sz w:val="22"/>
        </w:rPr>
        <w:t xml:space="preserve"> </w:t>
      </w:r>
      <w:r w:rsidR="0040000D" w:rsidRPr="009B644A">
        <w:rPr>
          <w:i/>
          <w:sz w:val="22"/>
        </w:rPr>
        <w:t>reliably</w:t>
      </w:r>
      <w:r w:rsidR="009B644A" w:rsidRPr="009B644A">
        <w:rPr>
          <w:i/>
          <w:sz w:val="22"/>
        </w:rPr>
        <w:t xml:space="preserve"> implement protocol requirements</w:t>
      </w:r>
      <w:r w:rsidR="0040000D">
        <w:rPr>
          <w:i/>
          <w:sz w:val="22"/>
        </w:rPr>
        <w:t xml:space="preserve"> at both sites</w:t>
      </w:r>
      <w:r w:rsidR="009B644A" w:rsidRPr="009B644A">
        <w:rPr>
          <w:i/>
          <w:sz w:val="22"/>
        </w:rPr>
        <w:t xml:space="preserve"> and evaluate the impact of inclusion and exclusion criteria in real world populations</w:t>
      </w:r>
      <w:r w:rsidR="00817757">
        <w:rPr>
          <w:i/>
          <w:sz w:val="22"/>
        </w:rPr>
        <w:t>,</w:t>
      </w:r>
      <w:r w:rsidR="009B644A" w:rsidRPr="009B644A">
        <w:rPr>
          <w:i/>
          <w:sz w:val="22"/>
        </w:rPr>
        <w:t xml:space="preserve"> to facilitate clinic</w:t>
      </w:r>
      <w:r w:rsidR="0040000D">
        <w:rPr>
          <w:i/>
          <w:sz w:val="22"/>
        </w:rPr>
        <w:t xml:space="preserve">al development </w:t>
      </w:r>
      <w:r w:rsidR="00BA4AA6">
        <w:rPr>
          <w:i/>
          <w:sz w:val="22"/>
        </w:rPr>
        <w:t xml:space="preserve">and protocol design. </w:t>
      </w:r>
      <w:r w:rsidR="00CE18F3">
        <w:rPr>
          <w:i/>
          <w:sz w:val="22"/>
        </w:rPr>
        <w:t>The</w:t>
      </w:r>
      <w:r w:rsidR="00CE18F3" w:rsidRPr="009B644A">
        <w:rPr>
          <w:i/>
          <w:sz w:val="22"/>
        </w:rPr>
        <w:t xml:space="preserve"> </w:t>
      </w:r>
      <w:r w:rsidR="00CE18F3">
        <w:rPr>
          <w:i/>
          <w:sz w:val="22"/>
        </w:rPr>
        <w:t xml:space="preserve">results of the feasibility </w:t>
      </w:r>
      <w:r w:rsidR="000E2A70">
        <w:rPr>
          <w:i/>
          <w:sz w:val="22"/>
        </w:rPr>
        <w:t xml:space="preserve">can be </w:t>
      </w:r>
      <w:r w:rsidR="00817757">
        <w:rPr>
          <w:i/>
          <w:sz w:val="22"/>
        </w:rPr>
        <w:t xml:space="preserve">used both to </w:t>
      </w:r>
      <w:r w:rsidR="000E2A70">
        <w:rPr>
          <w:i/>
          <w:sz w:val="22"/>
        </w:rPr>
        <w:t xml:space="preserve">aid in </w:t>
      </w:r>
      <w:r w:rsidR="00817757">
        <w:rPr>
          <w:i/>
          <w:sz w:val="22"/>
        </w:rPr>
        <w:t xml:space="preserve">identifying eligible </w:t>
      </w:r>
      <w:r w:rsidR="000E2A70">
        <w:rPr>
          <w:i/>
          <w:sz w:val="22"/>
        </w:rPr>
        <w:t>patients</w:t>
      </w:r>
      <w:r w:rsidR="009F20A2">
        <w:rPr>
          <w:i/>
          <w:sz w:val="22"/>
        </w:rPr>
        <w:t xml:space="preserve"> </w:t>
      </w:r>
      <w:r w:rsidR="00817757">
        <w:rPr>
          <w:i/>
          <w:sz w:val="22"/>
        </w:rPr>
        <w:t>and</w:t>
      </w:r>
      <w:r w:rsidR="00CE18F3">
        <w:rPr>
          <w:i/>
          <w:sz w:val="22"/>
        </w:rPr>
        <w:t xml:space="preserve"> to understand</w:t>
      </w:r>
      <w:r w:rsidR="00817757">
        <w:rPr>
          <w:i/>
          <w:sz w:val="22"/>
        </w:rPr>
        <w:t xml:space="preserve"> opportunities to improve trial execution by better matching design to actual population</w:t>
      </w:r>
      <w:r w:rsidR="009F20A2">
        <w:rPr>
          <w:i/>
          <w:sz w:val="22"/>
        </w:rPr>
        <w:t>.</w:t>
      </w:r>
    </w:p>
    <w:p w14:paraId="27BFB6EF" w14:textId="2B67575B" w:rsidR="00B96C20" w:rsidRDefault="00BC65A4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eastAsia="Calibri"/>
          <w:b/>
          <w:color w:val="000000"/>
          <w:sz w:val="24"/>
          <w:szCs w:val="22"/>
        </w:rPr>
        <w:t>In</w:t>
      </w:r>
      <w:r w:rsidR="007D057B" w:rsidRPr="00BC65A4">
        <w:rPr>
          <w:rFonts w:eastAsia="Calibri"/>
          <w:b/>
          <w:color w:val="000000"/>
          <w:sz w:val="24"/>
          <w:szCs w:val="22"/>
        </w:rPr>
        <w:t>troduction</w:t>
      </w:r>
    </w:p>
    <w:p w14:paraId="00D9B809" w14:textId="432EF5D8" w:rsidR="00B808E2" w:rsidRPr="00BC65A4" w:rsidRDefault="00817757" w:rsidP="00B808E2">
      <w:pPr>
        <w:pStyle w:val="AMIABodyText"/>
        <w:rPr>
          <w:sz w:val="22"/>
          <w:szCs w:val="22"/>
        </w:rPr>
      </w:pPr>
      <w:r>
        <w:rPr>
          <w:sz w:val="22"/>
          <w:szCs w:val="22"/>
        </w:rPr>
        <w:t xml:space="preserve">Successful clinical trial design requires matching experimentally desirable cohort characteristics with the actual population of potential participants.  </w:t>
      </w:r>
      <w:r w:rsidR="00DB4BAF">
        <w:rPr>
          <w:sz w:val="22"/>
          <w:szCs w:val="22"/>
        </w:rPr>
        <w:t>Clinical trial</w:t>
      </w:r>
      <w:r w:rsidR="002D0710">
        <w:rPr>
          <w:sz w:val="22"/>
          <w:szCs w:val="22"/>
        </w:rPr>
        <w:t xml:space="preserve"> feasibility analyses </w:t>
      </w:r>
      <w:r w:rsidR="00B808E2" w:rsidRPr="00BC65A4">
        <w:rPr>
          <w:sz w:val="22"/>
          <w:szCs w:val="22"/>
        </w:rPr>
        <w:t xml:space="preserve">address operational questions, provide insight in overall population eligibility, impact protocol design, and </w:t>
      </w:r>
      <w:r w:rsidR="002D0710">
        <w:rPr>
          <w:sz w:val="22"/>
          <w:szCs w:val="22"/>
        </w:rPr>
        <w:t xml:space="preserve">can </w:t>
      </w:r>
      <w:r w:rsidR="009B4F30">
        <w:rPr>
          <w:sz w:val="22"/>
          <w:szCs w:val="22"/>
        </w:rPr>
        <w:t xml:space="preserve">potentially </w:t>
      </w:r>
      <w:r w:rsidR="00B808E2" w:rsidRPr="00BC65A4">
        <w:rPr>
          <w:sz w:val="22"/>
          <w:szCs w:val="22"/>
        </w:rPr>
        <w:t>avoid protoco</w:t>
      </w:r>
      <w:r w:rsidR="00955015" w:rsidRPr="00BC65A4">
        <w:rPr>
          <w:sz w:val="22"/>
          <w:szCs w:val="22"/>
        </w:rPr>
        <w:t>l amendments for a clinical trial</w:t>
      </w:r>
      <w:r w:rsidR="00B808E2" w:rsidRPr="00BC65A4">
        <w:rPr>
          <w:sz w:val="22"/>
          <w:szCs w:val="22"/>
        </w:rPr>
        <w:t>. At Janssen</w:t>
      </w:r>
      <w:r w:rsidR="0087318E">
        <w:rPr>
          <w:sz w:val="22"/>
          <w:szCs w:val="22"/>
        </w:rPr>
        <w:t>,</w:t>
      </w:r>
      <w:r w:rsidR="00B808E2" w:rsidRPr="00BC65A4">
        <w:rPr>
          <w:sz w:val="22"/>
          <w:szCs w:val="22"/>
        </w:rPr>
        <w:t xml:space="preserve"> this utility is provided to clinical teams by identifying appropriate protocols</w:t>
      </w:r>
      <w:r w:rsidR="0066009E">
        <w:rPr>
          <w:sz w:val="22"/>
          <w:szCs w:val="22"/>
        </w:rPr>
        <w:t xml:space="preserve"> and pre-protocol </w:t>
      </w:r>
      <w:r>
        <w:rPr>
          <w:sz w:val="22"/>
          <w:szCs w:val="22"/>
        </w:rPr>
        <w:t>specifications</w:t>
      </w:r>
      <w:r w:rsidRPr="00BC65A4">
        <w:rPr>
          <w:sz w:val="22"/>
          <w:szCs w:val="22"/>
        </w:rPr>
        <w:t xml:space="preserve"> </w:t>
      </w:r>
      <w:r w:rsidR="00B808E2" w:rsidRPr="00BC65A4">
        <w:rPr>
          <w:sz w:val="22"/>
          <w:szCs w:val="22"/>
        </w:rPr>
        <w:t xml:space="preserve">that </w:t>
      </w:r>
      <w:r w:rsidR="00552C07">
        <w:rPr>
          <w:sz w:val="22"/>
          <w:szCs w:val="22"/>
        </w:rPr>
        <w:t>may</w:t>
      </w:r>
      <w:r w:rsidR="00B808E2" w:rsidRPr="00BC65A4">
        <w:rPr>
          <w:sz w:val="22"/>
          <w:szCs w:val="22"/>
        </w:rPr>
        <w:t xml:space="preserve"> be studied using observational data. </w:t>
      </w:r>
      <w:r w:rsidR="0087318E">
        <w:rPr>
          <w:sz w:val="22"/>
          <w:szCs w:val="22"/>
        </w:rPr>
        <w:t xml:space="preserve">The current </w:t>
      </w:r>
      <w:r w:rsidR="00F70DFB">
        <w:rPr>
          <w:sz w:val="22"/>
          <w:szCs w:val="22"/>
        </w:rPr>
        <w:t xml:space="preserve">case study represents the </w:t>
      </w:r>
      <w:r w:rsidR="00236734">
        <w:rPr>
          <w:sz w:val="22"/>
          <w:szCs w:val="22"/>
        </w:rPr>
        <w:t>extension</w:t>
      </w:r>
      <w:r w:rsidR="00F70DFB">
        <w:rPr>
          <w:sz w:val="22"/>
          <w:szCs w:val="22"/>
        </w:rPr>
        <w:t xml:space="preserve"> </w:t>
      </w:r>
      <w:r w:rsidR="00AC5C20">
        <w:rPr>
          <w:sz w:val="22"/>
          <w:szCs w:val="22"/>
        </w:rPr>
        <w:t xml:space="preserve">of this </w:t>
      </w:r>
      <w:r w:rsidR="0087318E">
        <w:rPr>
          <w:sz w:val="22"/>
          <w:szCs w:val="22"/>
        </w:rPr>
        <w:t xml:space="preserve">process </w:t>
      </w:r>
      <w:r w:rsidR="00F70DFB">
        <w:rPr>
          <w:sz w:val="22"/>
          <w:szCs w:val="22"/>
        </w:rPr>
        <w:t xml:space="preserve">at Janssen to </w:t>
      </w:r>
      <w:r w:rsidR="0087318E">
        <w:rPr>
          <w:sz w:val="22"/>
          <w:szCs w:val="22"/>
        </w:rPr>
        <w:t xml:space="preserve">PEDSnet, a clinical research network that contains data from seven pediatric health systems across the country. The work </w:t>
      </w:r>
      <w:r w:rsidR="00F70DFB">
        <w:rPr>
          <w:sz w:val="22"/>
          <w:szCs w:val="22"/>
        </w:rPr>
        <w:t>support</w:t>
      </w:r>
      <w:r w:rsidR="0087318E">
        <w:rPr>
          <w:sz w:val="22"/>
          <w:szCs w:val="22"/>
        </w:rPr>
        <w:t>s</w:t>
      </w:r>
      <w:r w:rsidR="00F70DFB">
        <w:rPr>
          <w:sz w:val="22"/>
          <w:szCs w:val="22"/>
        </w:rPr>
        <w:t xml:space="preserve"> </w:t>
      </w:r>
      <w:r w:rsidR="00AC5C20">
        <w:rPr>
          <w:sz w:val="22"/>
          <w:szCs w:val="22"/>
        </w:rPr>
        <w:t xml:space="preserve">a </w:t>
      </w:r>
      <w:r w:rsidR="00C06156">
        <w:rPr>
          <w:sz w:val="22"/>
          <w:szCs w:val="22"/>
        </w:rPr>
        <w:t xml:space="preserve">pediatric </w:t>
      </w:r>
      <w:r w:rsidR="00AC5C20">
        <w:rPr>
          <w:sz w:val="22"/>
          <w:szCs w:val="22"/>
        </w:rPr>
        <w:t xml:space="preserve">phase </w:t>
      </w:r>
      <w:r w:rsidR="00E317B8">
        <w:rPr>
          <w:sz w:val="22"/>
          <w:szCs w:val="22"/>
        </w:rPr>
        <w:t>III</w:t>
      </w:r>
      <w:r w:rsidR="00AC5C20">
        <w:rPr>
          <w:sz w:val="22"/>
          <w:szCs w:val="22"/>
        </w:rPr>
        <w:t xml:space="preserve"> </w:t>
      </w:r>
      <w:r w:rsidR="00F70DFB">
        <w:rPr>
          <w:sz w:val="22"/>
          <w:szCs w:val="22"/>
        </w:rPr>
        <w:t>trial</w:t>
      </w:r>
      <w:r w:rsidR="00E317B8">
        <w:rPr>
          <w:sz w:val="22"/>
          <w:szCs w:val="22"/>
        </w:rPr>
        <w:t xml:space="preserve"> in type </w:t>
      </w:r>
      <w:r w:rsidR="00C06156">
        <w:rPr>
          <w:sz w:val="22"/>
          <w:szCs w:val="22"/>
        </w:rPr>
        <w:t xml:space="preserve">2 </w:t>
      </w:r>
      <w:r w:rsidR="00E317B8">
        <w:rPr>
          <w:sz w:val="22"/>
          <w:szCs w:val="22"/>
        </w:rPr>
        <w:t>diabetes</w:t>
      </w:r>
      <w:r w:rsidR="00F70DFB">
        <w:rPr>
          <w:sz w:val="22"/>
          <w:szCs w:val="22"/>
        </w:rPr>
        <w:t xml:space="preserve"> </w:t>
      </w:r>
      <w:r w:rsidR="00C06156">
        <w:rPr>
          <w:sz w:val="22"/>
          <w:szCs w:val="22"/>
        </w:rPr>
        <w:t>with slow accrual to date</w:t>
      </w:r>
      <w:r w:rsidR="0087318E">
        <w:rPr>
          <w:sz w:val="22"/>
          <w:szCs w:val="22"/>
        </w:rPr>
        <w:t xml:space="preserve">. </w:t>
      </w:r>
      <w:r w:rsidR="00F70DFB">
        <w:rPr>
          <w:sz w:val="22"/>
          <w:szCs w:val="22"/>
        </w:rPr>
        <w:t xml:space="preserve"> </w:t>
      </w:r>
    </w:p>
    <w:p w14:paraId="3B75D024" w14:textId="77777777" w:rsidR="00B96C20" w:rsidRPr="00BC65A4" w:rsidRDefault="00CF6F49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eastAsia="Calibri"/>
          <w:b/>
          <w:color w:val="000000"/>
          <w:sz w:val="24"/>
          <w:szCs w:val="22"/>
        </w:rPr>
      </w:pPr>
      <w:r w:rsidRPr="00BC65A4">
        <w:rPr>
          <w:rFonts w:eastAsia="Calibri"/>
          <w:b/>
          <w:color w:val="000000"/>
          <w:sz w:val="24"/>
          <w:szCs w:val="22"/>
        </w:rPr>
        <w:t>Methods</w:t>
      </w:r>
    </w:p>
    <w:p w14:paraId="31BEC8A0" w14:textId="448ACE90" w:rsidR="00CF6F49" w:rsidRDefault="00AA3FEE" w:rsidP="005B0E16">
      <w:pPr>
        <w:pStyle w:val="CommentText"/>
        <w:rPr>
          <w:sz w:val="22"/>
          <w:szCs w:val="22"/>
        </w:rPr>
      </w:pPr>
      <w:r w:rsidRPr="00BC65A4">
        <w:rPr>
          <w:sz w:val="22"/>
          <w:szCs w:val="22"/>
        </w:rPr>
        <w:t>Makadia et al.</w:t>
      </w:r>
      <w:r>
        <w:rPr>
          <w:sz w:val="22"/>
          <w:szCs w:val="22"/>
          <w:vertAlign w:val="superscript"/>
        </w:rPr>
        <w:t xml:space="preserve">4 </w:t>
      </w:r>
      <w:r w:rsidRPr="00BC65A4">
        <w:rPr>
          <w:sz w:val="22"/>
          <w:szCs w:val="22"/>
        </w:rPr>
        <w:t>describe</w:t>
      </w:r>
      <w:r>
        <w:rPr>
          <w:sz w:val="22"/>
          <w:szCs w:val="22"/>
        </w:rPr>
        <w:t>d</w:t>
      </w:r>
      <w:r w:rsidRPr="00BC65A4">
        <w:rPr>
          <w:sz w:val="22"/>
          <w:szCs w:val="22"/>
        </w:rPr>
        <w:t xml:space="preserve"> the process of clinical trial feasibility</w:t>
      </w:r>
      <w:r w:rsidR="00D13DDC">
        <w:rPr>
          <w:sz w:val="22"/>
          <w:szCs w:val="22"/>
        </w:rPr>
        <w:t xml:space="preserve"> assessments</w:t>
      </w:r>
      <w:r w:rsidRPr="00BC65A4">
        <w:rPr>
          <w:sz w:val="22"/>
          <w:szCs w:val="22"/>
        </w:rPr>
        <w:t xml:space="preserve"> </w:t>
      </w:r>
      <w:r>
        <w:rPr>
          <w:sz w:val="22"/>
          <w:szCs w:val="22"/>
        </w:rPr>
        <w:t>is conducted</w:t>
      </w:r>
      <w:r w:rsidR="0087078D">
        <w:rPr>
          <w:sz w:val="22"/>
          <w:szCs w:val="22"/>
        </w:rPr>
        <w:t xml:space="preserve"> at Janssen</w:t>
      </w:r>
      <w:r>
        <w:rPr>
          <w:sz w:val="22"/>
          <w:szCs w:val="22"/>
        </w:rPr>
        <w:t>. Briefly, protocol specifications</w:t>
      </w:r>
      <w:r w:rsidRPr="00BC65A4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in the form of inclusion/exclusion criteria </w:t>
      </w:r>
      <w:r w:rsidRPr="00BC65A4">
        <w:rPr>
          <w:sz w:val="22"/>
          <w:szCs w:val="22"/>
        </w:rPr>
        <w:t>are identified</w:t>
      </w:r>
      <w:r w:rsidR="00D13DDC">
        <w:rPr>
          <w:sz w:val="22"/>
          <w:szCs w:val="22"/>
        </w:rPr>
        <w:t>;</w:t>
      </w:r>
      <w:r w:rsidRPr="00BC65A4">
        <w:rPr>
          <w:sz w:val="22"/>
          <w:szCs w:val="22"/>
        </w:rPr>
        <w:t xml:space="preserve"> concept </w:t>
      </w:r>
      <w:r w:rsidR="00B63448" w:rsidRPr="00BC65A4">
        <w:rPr>
          <w:sz w:val="22"/>
          <w:szCs w:val="22"/>
        </w:rPr>
        <w:t>sets,</w:t>
      </w:r>
      <w:r w:rsidRPr="00BC65A4">
        <w:rPr>
          <w:sz w:val="22"/>
          <w:szCs w:val="22"/>
        </w:rPr>
        <w:t xml:space="preserve"> and index cohorts </w:t>
      </w:r>
      <w:r w:rsidR="00D13DDC">
        <w:rPr>
          <w:sz w:val="22"/>
          <w:szCs w:val="22"/>
        </w:rPr>
        <w:t xml:space="preserve">are </w:t>
      </w:r>
      <w:r>
        <w:rPr>
          <w:sz w:val="22"/>
          <w:szCs w:val="22"/>
        </w:rPr>
        <w:t>implemented as</w:t>
      </w:r>
      <w:r w:rsidRPr="00BC65A4">
        <w:rPr>
          <w:sz w:val="22"/>
          <w:szCs w:val="22"/>
        </w:rPr>
        <w:t xml:space="preserve"> inclusion rules</w:t>
      </w:r>
      <w:r>
        <w:rPr>
          <w:sz w:val="22"/>
          <w:szCs w:val="22"/>
        </w:rPr>
        <w:t xml:space="preserve"> in ATLAS</w:t>
      </w:r>
      <w:r w:rsidR="00C06156" w:rsidRPr="00244804">
        <w:rPr>
          <w:sz w:val="22"/>
          <w:szCs w:val="22"/>
          <w:vertAlign w:val="superscript"/>
        </w:rPr>
        <w:t>3</w:t>
      </w:r>
      <w:r>
        <w:rPr>
          <w:sz w:val="22"/>
          <w:szCs w:val="22"/>
        </w:rPr>
        <w:t xml:space="preserve"> which are run against claims databases </w:t>
      </w:r>
      <w:r w:rsidR="00C06156">
        <w:rPr>
          <w:sz w:val="22"/>
          <w:szCs w:val="22"/>
        </w:rPr>
        <w:t xml:space="preserve">using </w:t>
      </w:r>
      <w:r w:rsidR="00C06156" w:rsidRPr="00BC65A4">
        <w:rPr>
          <w:sz w:val="22"/>
          <w:szCs w:val="22"/>
        </w:rPr>
        <w:t xml:space="preserve">the OMOP common data model (OMOP </w:t>
      </w:r>
      <w:proofErr w:type="spellStart"/>
      <w:r w:rsidR="00C06156" w:rsidRPr="00BC65A4">
        <w:rPr>
          <w:sz w:val="22"/>
          <w:szCs w:val="22"/>
        </w:rPr>
        <w:t>CDM</w:t>
      </w:r>
      <w:proofErr w:type="spellEnd"/>
      <w:r w:rsidR="00C06156" w:rsidRPr="00BC65A4">
        <w:rPr>
          <w:sz w:val="22"/>
          <w:szCs w:val="22"/>
        </w:rPr>
        <w:t>)</w:t>
      </w:r>
      <w:r w:rsidR="00C06156" w:rsidRPr="00737C7E">
        <w:rPr>
          <w:sz w:val="22"/>
          <w:szCs w:val="22"/>
          <w:vertAlign w:val="superscript"/>
        </w:rPr>
        <w:t>1,2</w:t>
      </w:r>
      <w:bookmarkStart w:id="0" w:name="_GoBack"/>
      <w:bookmarkEnd w:id="0"/>
      <w:r>
        <w:rPr>
          <w:sz w:val="22"/>
          <w:szCs w:val="22"/>
        </w:rPr>
        <w:t xml:space="preserve"> </w:t>
      </w:r>
      <w:r w:rsidR="001F655E">
        <w:rPr>
          <w:sz w:val="22"/>
          <w:szCs w:val="22"/>
        </w:rPr>
        <w:t xml:space="preserve">and </w:t>
      </w:r>
      <w:r>
        <w:rPr>
          <w:sz w:val="22"/>
          <w:szCs w:val="22"/>
        </w:rPr>
        <w:t>results are</w:t>
      </w:r>
      <w:r w:rsidRPr="00BC65A4">
        <w:rPr>
          <w:sz w:val="22"/>
          <w:szCs w:val="22"/>
        </w:rPr>
        <w:t xml:space="preserve"> </w:t>
      </w:r>
      <w:r>
        <w:rPr>
          <w:sz w:val="22"/>
          <w:szCs w:val="22"/>
        </w:rPr>
        <w:t>shared with the clinical team</w:t>
      </w:r>
      <w:r w:rsidR="00B63448">
        <w:rPr>
          <w:sz w:val="22"/>
          <w:szCs w:val="22"/>
        </w:rPr>
        <w:t xml:space="preserve">. </w:t>
      </w:r>
      <w:r w:rsidR="00C06156">
        <w:rPr>
          <w:sz w:val="22"/>
          <w:szCs w:val="22"/>
        </w:rPr>
        <w:t xml:space="preserve">In this study, </w:t>
      </w:r>
      <w:r w:rsidR="00045789">
        <w:rPr>
          <w:sz w:val="22"/>
          <w:szCs w:val="22"/>
        </w:rPr>
        <w:t>ATLAS</w:t>
      </w:r>
      <w:r w:rsidR="001F655E">
        <w:rPr>
          <w:sz w:val="22"/>
          <w:szCs w:val="22"/>
        </w:rPr>
        <w:t xml:space="preserve"> was used</w:t>
      </w:r>
      <w:r w:rsidR="00045789">
        <w:rPr>
          <w:sz w:val="22"/>
          <w:szCs w:val="22"/>
        </w:rPr>
        <w:t xml:space="preserve"> </w:t>
      </w:r>
      <w:r w:rsidR="00B71394">
        <w:rPr>
          <w:sz w:val="22"/>
          <w:szCs w:val="22"/>
        </w:rPr>
        <w:t>at both sites</w:t>
      </w:r>
      <w:r w:rsidR="001F655E">
        <w:rPr>
          <w:sz w:val="22"/>
          <w:szCs w:val="22"/>
        </w:rPr>
        <w:t xml:space="preserve"> </w:t>
      </w:r>
      <w:r w:rsidR="005044F6">
        <w:rPr>
          <w:sz w:val="22"/>
          <w:szCs w:val="22"/>
        </w:rPr>
        <w:t xml:space="preserve">across </w:t>
      </w:r>
      <w:r w:rsidR="00DB56F7">
        <w:rPr>
          <w:sz w:val="22"/>
          <w:szCs w:val="22"/>
        </w:rPr>
        <w:t xml:space="preserve">the PEDSnet network, </w:t>
      </w:r>
      <w:r w:rsidR="00E317B8" w:rsidRPr="00E317B8">
        <w:rPr>
          <w:sz w:val="22"/>
          <w:szCs w:val="22"/>
        </w:rPr>
        <w:t xml:space="preserve">IBM </w:t>
      </w:r>
      <w:proofErr w:type="spellStart"/>
      <w:r w:rsidR="00E317B8" w:rsidRPr="00E317B8">
        <w:rPr>
          <w:sz w:val="22"/>
          <w:szCs w:val="22"/>
        </w:rPr>
        <w:t>MarketScan</w:t>
      </w:r>
      <w:proofErr w:type="spellEnd"/>
      <w:r w:rsidR="00E317B8" w:rsidRPr="00E317B8">
        <w:rPr>
          <w:sz w:val="22"/>
          <w:szCs w:val="22"/>
        </w:rPr>
        <w:t xml:space="preserve">® Commercial Database </w:t>
      </w:r>
      <w:r w:rsidR="00E317B8">
        <w:rPr>
          <w:sz w:val="22"/>
          <w:szCs w:val="22"/>
        </w:rPr>
        <w:t>(</w:t>
      </w:r>
      <w:proofErr w:type="spellStart"/>
      <w:r w:rsidR="00E317B8">
        <w:rPr>
          <w:sz w:val="22"/>
          <w:szCs w:val="22"/>
        </w:rPr>
        <w:t>CCAE</w:t>
      </w:r>
      <w:proofErr w:type="spellEnd"/>
      <w:r w:rsidR="00A0783F">
        <w:rPr>
          <w:sz w:val="22"/>
          <w:szCs w:val="22"/>
        </w:rPr>
        <w:t>), IBM</w:t>
      </w:r>
      <w:r w:rsidR="00E317B8" w:rsidRPr="00E317B8">
        <w:rPr>
          <w:sz w:val="22"/>
          <w:szCs w:val="22"/>
        </w:rPr>
        <w:t xml:space="preserve"> </w:t>
      </w:r>
      <w:proofErr w:type="spellStart"/>
      <w:r w:rsidR="00E317B8" w:rsidRPr="00E317B8">
        <w:rPr>
          <w:sz w:val="22"/>
          <w:szCs w:val="22"/>
        </w:rPr>
        <w:t>MarketScan</w:t>
      </w:r>
      <w:proofErr w:type="spellEnd"/>
      <w:r w:rsidR="00E317B8" w:rsidRPr="00E317B8">
        <w:rPr>
          <w:sz w:val="22"/>
          <w:szCs w:val="22"/>
        </w:rPr>
        <w:t>® Multi-State Medicaid Database</w:t>
      </w:r>
      <w:r w:rsidR="00E317B8">
        <w:rPr>
          <w:sz w:val="22"/>
          <w:szCs w:val="22"/>
        </w:rPr>
        <w:t xml:space="preserve"> (MDCD)</w:t>
      </w:r>
      <w:r w:rsidR="00E317B8" w:rsidRPr="00E317B8">
        <w:rPr>
          <w:sz w:val="22"/>
          <w:szCs w:val="22"/>
        </w:rPr>
        <w:t xml:space="preserve"> </w:t>
      </w:r>
      <w:r w:rsidR="00DB56F7">
        <w:rPr>
          <w:sz w:val="22"/>
          <w:szCs w:val="22"/>
        </w:rPr>
        <w:t xml:space="preserve">and </w:t>
      </w:r>
      <w:r w:rsidR="00E317B8" w:rsidRPr="00E317B8">
        <w:rPr>
          <w:sz w:val="22"/>
          <w:szCs w:val="22"/>
        </w:rPr>
        <w:t xml:space="preserve">Optum© De-Identified Clinformatics® Data Mart Database – Socio-Economic Status (SES) </w:t>
      </w:r>
      <w:r w:rsidR="00E317B8">
        <w:rPr>
          <w:sz w:val="22"/>
          <w:szCs w:val="22"/>
        </w:rPr>
        <w:t>(Optum SES)</w:t>
      </w:r>
      <w:r w:rsidR="00DB56F7">
        <w:rPr>
          <w:sz w:val="22"/>
          <w:szCs w:val="22"/>
        </w:rPr>
        <w:t xml:space="preserve"> datasets</w:t>
      </w:r>
      <w:r w:rsidR="00676809">
        <w:rPr>
          <w:sz w:val="22"/>
          <w:szCs w:val="22"/>
        </w:rPr>
        <w:t>.</w:t>
      </w:r>
      <w:r w:rsidR="00C06156">
        <w:rPr>
          <w:sz w:val="22"/>
          <w:szCs w:val="22"/>
        </w:rPr>
        <w:t xml:space="preserve">  The impact of various inclusion/exclusion criteria, database denominators, match rates and sensitivity analyses around definitions applied were compared</w:t>
      </w:r>
      <w:r w:rsidR="00810196">
        <w:rPr>
          <w:sz w:val="22"/>
          <w:szCs w:val="22"/>
        </w:rPr>
        <w:t>.</w:t>
      </w:r>
    </w:p>
    <w:p w14:paraId="7F23755E" w14:textId="77777777" w:rsidR="00F97FAC" w:rsidRPr="00F97FAC" w:rsidRDefault="00F97FAC" w:rsidP="00F97FAC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eastAsia="Calibri"/>
          <w:b/>
          <w:color w:val="000000"/>
          <w:sz w:val="24"/>
          <w:szCs w:val="22"/>
        </w:rPr>
      </w:pPr>
      <w:r w:rsidRPr="00F97FAC">
        <w:rPr>
          <w:rFonts w:eastAsia="Calibri"/>
          <w:b/>
          <w:color w:val="000000"/>
          <w:sz w:val="24"/>
          <w:szCs w:val="22"/>
        </w:rPr>
        <w:lastRenderedPageBreak/>
        <w:t>Results</w:t>
      </w:r>
    </w:p>
    <w:p w14:paraId="7AE0DF79" w14:textId="4F3CCFC3" w:rsidR="00F83FF6" w:rsidRDefault="00B63448" w:rsidP="00F83FF6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eastAsia="Calibri"/>
          <w:color w:val="000000"/>
          <w:sz w:val="22"/>
          <w:szCs w:val="22"/>
        </w:rPr>
      </w:pPr>
      <w:r>
        <w:rPr>
          <w:rFonts w:eastAsia="Calibri"/>
          <w:color w:val="000000"/>
          <w:sz w:val="22"/>
          <w:szCs w:val="22"/>
        </w:rPr>
        <w:t>The study protocol document consisted of 31 eligibility criteria</w:t>
      </w:r>
      <w:r w:rsidR="00A45EE5">
        <w:rPr>
          <w:rFonts w:eastAsia="Calibri"/>
          <w:color w:val="000000"/>
          <w:sz w:val="22"/>
          <w:szCs w:val="22"/>
        </w:rPr>
        <w:t xml:space="preserve"> from various data domains</w:t>
      </w:r>
      <w:r>
        <w:rPr>
          <w:rFonts w:eastAsia="Calibri"/>
          <w:color w:val="000000"/>
          <w:sz w:val="22"/>
          <w:szCs w:val="22"/>
        </w:rPr>
        <w:t xml:space="preserve"> (</w:t>
      </w:r>
      <w:r w:rsidR="00A45EE5">
        <w:rPr>
          <w:rFonts w:eastAsia="Calibri"/>
          <w:color w:val="000000"/>
          <w:sz w:val="22"/>
          <w:szCs w:val="22"/>
        </w:rPr>
        <w:t xml:space="preserve">10 </w:t>
      </w:r>
      <w:r>
        <w:rPr>
          <w:rFonts w:eastAsia="Calibri"/>
          <w:color w:val="000000"/>
          <w:sz w:val="22"/>
          <w:szCs w:val="22"/>
        </w:rPr>
        <w:t xml:space="preserve">conditions, </w:t>
      </w:r>
      <w:r w:rsidR="00A45EE5">
        <w:rPr>
          <w:rFonts w:eastAsia="Calibri"/>
          <w:color w:val="000000"/>
          <w:sz w:val="22"/>
          <w:szCs w:val="22"/>
        </w:rPr>
        <w:t xml:space="preserve">7 measurements, 5 drug, 5 administrative, </w:t>
      </w:r>
      <w:r w:rsidR="00153EAA">
        <w:rPr>
          <w:rFonts w:eastAsia="Calibri"/>
          <w:color w:val="000000"/>
          <w:sz w:val="22"/>
          <w:szCs w:val="22"/>
        </w:rPr>
        <w:t xml:space="preserve">2 </w:t>
      </w:r>
      <w:r>
        <w:rPr>
          <w:rFonts w:eastAsia="Calibri"/>
          <w:color w:val="000000"/>
          <w:sz w:val="22"/>
          <w:szCs w:val="22"/>
        </w:rPr>
        <w:t>procedures,</w:t>
      </w:r>
      <w:r w:rsidR="00A45EE5">
        <w:rPr>
          <w:rFonts w:eastAsia="Calibri"/>
          <w:color w:val="000000"/>
          <w:sz w:val="22"/>
          <w:szCs w:val="22"/>
        </w:rPr>
        <w:t xml:space="preserve"> 1 observation, 1 demographic)</w:t>
      </w:r>
      <w:r>
        <w:rPr>
          <w:rFonts w:eastAsia="Calibri"/>
          <w:color w:val="000000"/>
          <w:sz w:val="22"/>
          <w:szCs w:val="22"/>
        </w:rPr>
        <w:t xml:space="preserve">. </w:t>
      </w:r>
      <w:r w:rsidR="00C06156">
        <w:rPr>
          <w:rFonts w:eastAsia="Calibri"/>
          <w:color w:val="000000"/>
          <w:sz w:val="22"/>
          <w:szCs w:val="22"/>
        </w:rPr>
        <w:t xml:space="preserve">Of </w:t>
      </w:r>
      <w:r>
        <w:rPr>
          <w:rFonts w:eastAsia="Calibri"/>
          <w:color w:val="000000"/>
          <w:sz w:val="22"/>
          <w:szCs w:val="22"/>
        </w:rPr>
        <w:t xml:space="preserve">the </w:t>
      </w:r>
      <w:r w:rsidR="00C06156">
        <w:rPr>
          <w:rFonts w:eastAsia="Calibri"/>
          <w:color w:val="000000"/>
          <w:sz w:val="22"/>
          <w:szCs w:val="22"/>
        </w:rPr>
        <w:t xml:space="preserve">31 criteria, 18 could be evaluated in </w:t>
      </w:r>
      <w:r w:rsidR="009C75E6">
        <w:rPr>
          <w:rFonts w:eastAsia="Calibri"/>
          <w:color w:val="000000"/>
          <w:sz w:val="22"/>
          <w:szCs w:val="22"/>
        </w:rPr>
        <w:t>the US claims database</w:t>
      </w:r>
      <w:r w:rsidR="00C06156">
        <w:rPr>
          <w:rFonts w:eastAsia="Calibri"/>
          <w:color w:val="000000"/>
          <w:sz w:val="22"/>
          <w:szCs w:val="22"/>
        </w:rPr>
        <w:t>s</w:t>
      </w:r>
      <w:r w:rsidR="009C75E6">
        <w:rPr>
          <w:rFonts w:eastAsia="Calibri"/>
          <w:color w:val="000000"/>
          <w:sz w:val="22"/>
          <w:szCs w:val="22"/>
        </w:rPr>
        <w:t xml:space="preserve"> </w:t>
      </w:r>
      <w:r w:rsidR="00C06156">
        <w:rPr>
          <w:rFonts w:eastAsia="Calibri"/>
          <w:color w:val="000000"/>
          <w:sz w:val="22"/>
          <w:szCs w:val="22"/>
        </w:rPr>
        <w:t>and 22 in PEDSnet</w:t>
      </w:r>
      <w:r w:rsidR="009C75E6">
        <w:rPr>
          <w:rFonts w:eastAsia="Calibri"/>
          <w:color w:val="000000"/>
          <w:sz w:val="22"/>
          <w:szCs w:val="22"/>
        </w:rPr>
        <w:t>. The additional 4 criteria evaluated were specific to laboratory measurements captured in the PEDSnet database that were not a</w:t>
      </w:r>
      <w:r w:rsidR="00A7672D">
        <w:rPr>
          <w:rFonts w:eastAsia="Calibri"/>
          <w:color w:val="000000"/>
          <w:sz w:val="22"/>
          <w:szCs w:val="22"/>
        </w:rPr>
        <w:t>dequately captured</w:t>
      </w:r>
      <w:r w:rsidR="009C75E6">
        <w:rPr>
          <w:rFonts w:eastAsia="Calibri"/>
          <w:color w:val="000000"/>
          <w:sz w:val="22"/>
          <w:szCs w:val="22"/>
        </w:rPr>
        <w:t xml:space="preserve"> in U.S. claims datasets.</w:t>
      </w:r>
      <w:r w:rsidR="00C26F1F">
        <w:rPr>
          <w:rFonts w:eastAsia="Calibri"/>
          <w:color w:val="000000"/>
          <w:sz w:val="22"/>
          <w:szCs w:val="22"/>
        </w:rPr>
        <w:t xml:space="preserve"> </w:t>
      </w:r>
      <w:r w:rsidR="00AE2C11">
        <w:rPr>
          <w:rFonts w:eastAsia="Calibri"/>
          <w:color w:val="000000"/>
          <w:sz w:val="22"/>
          <w:szCs w:val="22"/>
        </w:rPr>
        <w:t>The database denominators</w:t>
      </w:r>
      <w:r w:rsidR="009F20A2">
        <w:rPr>
          <w:rFonts w:eastAsia="Calibri"/>
          <w:color w:val="000000"/>
          <w:sz w:val="22"/>
          <w:szCs w:val="22"/>
        </w:rPr>
        <w:t xml:space="preserve"> or </w:t>
      </w:r>
      <w:r>
        <w:rPr>
          <w:rFonts w:eastAsia="Calibri"/>
          <w:color w:val="000000"/>
          <w:sz w:val="22"/>
          <w:szCs w:val="22"/>
        </w:rPr>
        <w:t xml:space="preserve">patient population (the pool of patients available that meet age and </w:t>
      </w:r>
      <w:r w:rsidR="009F20A2">
        <w:rPr>
          <w:rFonts w:eastAsia="Calibri"/>
          <w:color w:val="000000"/>
          <w:sz w:val="22"/>
          <w:szCs w:val="22"/>
        </w:rPr>
        <w:t xml:space="preserve">recent </w:t>
      </w:r>
      <w:r>
        <w:rPr>
          <w:rFonts w:eastAsia="Calibri"/>
          <w:color w:val="000000"/>
          <w:sz w:val="22"/>
          <w:szCs w:val="22"/>
        </w:rPr>
        <w:t>time criteria, exclusive of specific diagnoses)</w:t>
      </w:r>
      <w:r w:rsidR="00AE2C11">
        <w:rPr>
          <w:rFonts w:eastAsia="Calibri"/>
          <w:color w:val="000000"/>
          <w:sz w:val="22"/>
          <w:szCs w:val="22"/>
        </w:rPr>
        <w:t xml:space="preserve"> from the 3 US claims datasets (</w:t>
      </w:r>
      <w:r w:rsidR="00432A6E">
        <w:rPr>
          <w:rFonts w:eastAsia="Calibri"/>
          <w:color w:val="000000"/>
          <w:sz w:val="22"/>
          <w:szCs w:val="22"/>
        </w:rPr>
        <w:t xml:space="preserve">CCAE, Optum SES </w:t>
      </w:r>
      <w:r w:rsidR="00AE2C11">
        <w:rPr>
          <w:rFonts w:eastAsia="Calibri"/>
          <w:color w:val="000000"/>
          <w:sz w:val="22"/>
          <w:szCs w:val="22"/>
        </w:rPr>
        <w:t>and</w:t>
      </w:r>
      <w:r w:rsidR="00432A6E">
        <w:rPr>
          <w:rFonts w:eastAsia="Calibri"/>
          <w:color w:val="000000"/>
          <w:sz w:val="22"/>
          <w:szCs w:val="22"/>
        </w:rPr>
        <w:t xml:space="preserve"> MDCD</w:t>
      </w:r>
      <w:r w:rsidR="00AE2C11">
        <w:rPr>
          <w:rFonts w:eastAsia="Calibri"/>
          <w:color w:val="000000"/>
          <w:sz w:val="22"/>
          <w:szCs w:val="22"/>
        </w:rPr>
        <w:t xml:space="preserve">) and </w:t>
      </w:r>
      <w:r w:rsidR="009C75E6">
        <w:rPr>
          <w:rFonts w:eastAsia="Calibri"/>
          <w:color w:val="000000"/>
          <w:sz w:val="22"/>
          <w:szCs w:val="22"/>
        </w:rPr>
        <w:t xml:space="preserve">PEDSnet </w:t>
      </w:r>
      <w:r w:rsidR="00AE2C11">
        <w:rPr>
          <w:rFonts w:eastAsia="Calibri"/>
          <w:color w:val="000000"/>
          <w:sz w:val="22"/>
          <w:szCs w:val="22"/>
        </w:rPr>
        <w:t xml:space="preserve">are presented in Table 1. </w:t>
      </w:r>
      <w:r w:rsidR="00713434">
        <w:rPr>
          <w:rFonts w:eastAsia="Calibri"/>
          <w:color w:val="000000"/>
          <w:sz w:val="22"/>
          <w:szCs w:val="22"/>
        </w:rPr>
        <w:t>PED</w:t>
      </w:r>
      <w:r w:rsidR="00900290">
        <w:rPr>
          <w:rFonts w:eastAsia="Calibri"/>
          <w:color w:val="000000"/>
          <w:sz w:val="22"/>
          <w:szCs w:val="22"/>
        </w:rPr>
        <w:t>S</w:t>
      </w:r>
      <w:r w:rsidR="00713434">
        <w:rPr>
          <w:rFonts w:eastAsia="Calibri"/>
          <w:color w:val="000000"/>
          <w:sz w:val="22"/>
          <w:szCs w:val="22"/>
        </w:rPr>
        <w:t>net has the highest proportion of available pediatric patients (37.11%), while Optum SES has the lowest at 7.51%.</w:t>
      </w:r>
      <w:r w:rsidR="00DB56F7">
        <w:rPr>
          <w:rFonts w:eastAsia="Calibri"/>
          <w:color w:val="000000"/>
          <w:sz w:val="22"/>
          <w:szCs w:val="22"/>
        </w:rPr>
        <w:t xml:space="preserve"> The index populations</w:t>
      </w:r>
      <w:r w:rsidR="008A5D44">
        <w:rPr>
          <w:rFonts w:eastAsia="Calibri"/>
          <w:color w:val="000000"/>
          <w:sz w:val="22"/>
          <w:szCs w:val="22"/>
        </w:rPr>
        <w:t xml:space="preserve"> (patients that </w:t>
      </w:r>
      <w:r w:rsidR="00432A6E">
        <w:rPr>
          <w:rFonts w:eastAsia="Calibri"/>
          <w:color w:val="000000"/>
          <w:sz w:val="22"/>
          <w:szCs w:val="22"/>
        </w:rPr>
        <w:t>meet</w:t>
      </w:r>
      <w:r w:rsidR="008A5D44">
        <w:rPr>
          <w:rFonts w:eastAsia="Calibri"/>
          <w:color w:val="000000"/>
          <w:sz w:val="22"/>
          <w:szCs w:val="22"/>
        </w:rPr>
        <w:t xml:space="preserve"> age criteria</w:t>
      </w:r>
      <w:r w:rsidR="00432A6E">
        <w:rPr>
          <w:rFonts w:eastAsia="Calibri"/>
          <w:color w:val="000000"/>
          <w:sz w:val="22"/>
          <w:szCs w:val="22"/>
        </w:rPr>
        <w:t xml:space="preserve">, </w:t>
      </w:r>
      <w:r w:rsidR="008A5D44">
        <w:rPr>
          <w:rFonts w:eastAsia="Calibri"/>
          <w:color w:val="000000"/>
          <w:sz w:val="22"/>
          <w:szCs w:val="22"/>
        </w:rPr>
        <w:t>type II diabetes diagnosis</w:t>
      </w:r>
      <w:r w:rsidR="00432A6E">
        <w:rPr>
          <w:rFonts w:eastAsia="Calibri"/>
          <w:color w:val="000000"/>
          <w:sz w:val="22"/>
          <w:szCs w:val="22"/>
        </w:rPr>
        <w:t xml:space="preserve"> criteria and year criteria</w:t>
      </w:r>
      <w:r w:rsidR="008A5D44">
        <w:rPr>
          <w:rFonts w:eastAsia="Calibri"/>
          <w:color w:val="000000"/>
          <w:sz w:val="22"/>
          <w:szCs w:val="22"/>
        </w:rPr>
        <w:t>)</w:t>
      </w:r>
      <w:r w:rsidR="00DB56F7">
        <w:rPr>
          <w:rFonts w:eastAsia="Calibri"/>
          <w:color w:val="000000"/>
          <w:sz w:val="22"/>
          <w:szCs w:val="22"/>
        </w:rPr>
        <w:t xml:space="preserve"> </w:t>
      </w:r>
      <w:r w:rsidR="009B4A6E">
        <w:rPr>
          <w:rFonts w:eastAsia="Calibri"/>
          <w:color w:val="000000"/>
          <w:sz w:val="22"/>
          <w:szCs w:val="22"/>
        </w:rPr>
        <w:t>ranged</w:t>
      </w:r>
      <w:r w:rsidR="004A1E4C">
        <w:rPr>
          <w:rFonts w:eastAsia="Calibri"/>
          <w:color w:val="000000"/>
          <w:sz w:val="22"/>
          <w:szCs w:val="22"/>
        </w:rPr>
        <w:t xml:space="preserve"> from </w:t>
      </w:r>
      <w:r w:rsidR="00DF33FD">
        <w:rPr>
          <w:rFonts w:eastAsia="Calibri"/>
          <w:color w:val="000000"/>
          <w:sz w:val="22"/>
          <w:szCs w:val="22"/>
        </w:rPr>
        <w:t xml:space="preserve">242 patients to 1895 patients </w:t>
      </w:r>
      <w:r w:rsidR="00D03C91">
        <w:rPr>
          <w:rFonts w:eastAsia="Calibri"/>
          <w:color w:val="000000"/>
          <w:sz w:val="22"/>
          <w:szCs w:val="22"/>
        </w:rPr>
        <w:t>(Figure 1)</w:t>
      </w:r>
      <w:r w:rsidR="009B4A6E">
        <w:rPr>
          <w:rFonts w:eastAsia="Calibri"/>
          <w:color w:val="000000"/>
          <w:sz w:val="22"/>
          <w:szCs w:val="22"/>
        </w:rPr>
        <w:t xml:space="preserve">, with </w:t>
      </w:r>
      <w:r w:rsidR="009F20A2">
        <w:rPr>
          <w:rFonts w:eastAsia="Calibri"/>
          <w:color w:val="000000"/>
          <w:sz w:val="22"/>
          <w:szCs w:val="22"/>
        </w:rPr>
        <w:t xml:space="preserve">all having a </w:t>
      </w:r>
      <w:r w:rsidR="009B4A6E">
        <w:rPr>
          <w:rFonts w:eastAsia="Calibri"/>
          <w:color w:val="000000"/>
          <w:sz w:val="22"/>
          <w:szCs w:val="22"/>
        </w:rPr>
        <w:t>similar match rate, or proportion of index patients that would satisfy all inclusion and exclusion criteria that were implemented</w:t>
      </w:r>
      <w:r w:rsidR="00D03C91">
        <w:rPr>
          <w:rFonts w:eastAsia="Calibri"/>
          <w:color w:val="000000"/>
          <w:sz w:val="22"/>
          <w:szCs w:val="22"/>
        </w:rPr>
        <w:t>.</w:t>
      </w:r>
      <w:r w:rsidR="009E3A11">
        <w:rPr>
          <w:rFonts w:eastAsia="Calibri"/>
          <w:color w:val="000000"/>
          <w:sz w:val="22"/>
          <w:szCs w:val="22"/>
        </w:rPr>
        <w:t xml:space="preserve">  Most criteria could be implemented identically using ATLAS </w:t>
      </w:r>
      <w:r w:rsidR="009F20A2">
        <w:rPr>
          <w:rFonts w:eastAsia="Calibri"/>
          <w:color w:val="000000"/>
          <w:sz w:val="22"/>
          <w:szCs w:val="22"/>
        </w:rPr>
        <w:t>functionality while</w:t>
      </w:r>
      <w:r w:rsidR="009E3A11">
        <w:rPr>
          <w:rFonts w:eastAsia="Calibri"/>
          <w:color w:val="000000"/>
          <w:sz w:val="22"/>
          <w:szCs w:val="22"/>
        </w:rPr>
        <w:t xml:space="preserve"> </w:t>
      </w:r>
      <w:r w:rsidR="008E3599">
        <w:rPr>
          <w:rFonts w:eastAsia="Calibri"/>
          <w:color w:val="000000"/>
          <w:sz w:val="22"/>
          <w:szCs w:val="22"/>
        </w:rPr>
        <w:t>a</w:t>
      </w:r>
      <w:r w:rsidR="009E3A11">
        <w:rPr>
          <w:rFonts w:eastAsia="Calibri"/>
          <w:color w:val="000000"/>
          <w:sz w:val="22"/>
          <w:szCs w:val="22"/>
        </w:rPr>
        <w:t xml:space="preserve"> small number </w:t>
      </w:r>
      <w:r w:rsidR="009F20A2">
        <w:rPr>
          <w:rFonts w:eastAsia="Calibri"/>
          <w:color w:val="000000"/>
          <w:sz w:val="22"/>
          <w:szCs w:val="22"/>
        </w:rPr>
        <w:t>required manual intervention</w:t>
      </w:r>
      <w:r w:rsidR="008E3599">
        <w:rPr>
          <w:rFonts w:eastAsia="Calibri"/>
          <w:color w:val="000000"/>
          <w:sz w:val="22"/>
          <w:szCs w:val="22"/>
        </w:rPr>
        <w:t xml:space="preserve"> due to </w:t>
      </w:r>
      <w:r w:rsidR="009E3A11">
        <w:rPr>
          <w:rFonts w:eastAsia="Calibri"/>
          <w:color w:val="000000"/>
          <w:sz w:val="22"/>
          <w:szCs w:val="22"/>
        </w:rPr>
        <w:t xml:space="preserve">terminologies implemented across sites.  </w:t>
      </w:r>
    </w:p>
    <w:p w14:paraId="727970C2" w14:textId="010B89D9" w:rsidR="009C75E6" w:rsidRDefault="009C75E6" w:rsidP="00F83FF6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eastAsia="Calibri"/>
          <w:color w:val="000000"/>
          <w:sz w:val="22"/>
          <w:szCs w:val="22"/>
        </w:rPr>
      </w:pPr>
      <w:r w:rsidRPr="00C26F1F">
        <w:rPr>
          <w:rFonts w:eastAsia="Calibri"/>
          <w:b/>
          <w:color w:val="000000"/>
          <w:sz w:val="22"/>
          <w:szCs w:val="22"/>
        </w:rPr>
        <w:t>Table 1</w:t>
      </w:r>
      <w:r>
        <w:rPr>
          <w:rFonts w:eastAsia="Calibri"/>
          <w:color w:val="000000"/>
          <w:sz w:val="22"/>
          <w:szCs w:val="22"/>
        </w:rPr>
        <w:t>. Database denominators from U.S. claims dataset and PEDSnet.</w:t>
      </w:r>
    </w:p>
    <w:tbl>
      <w:tblPr>
        <w:tblStyle w:val="GridTable6Colorful"/>
        <w:tblW w:w="9350" w:type="dxa"/>
        <w:tblLook w:val="04A0" w:firstRow="1" w:lastRow="0" w:firstColumn="1" w:lastColumn="0" w:noHBand="0" w:noVBand="1"/>
      </w:tblPr>
      <w:tblGrid>
        <w:gridCol w:w="1165"/>
        <w:gridCol w:w="4320"/>
        <w:gridCol w:w="3150"/>
        <w:gridCol w:w="715"/>
      </w:tblGrid>
      <w:tr w:rsidR="00AE2C11" w:rsidRPr="00AE2C11" w14:paraId="2D49D3C9" w14:textId="77777777" w:rsidTr="001F65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hideMark/>
          </w:tcPr>
          <w:p w14:paraId="670064F8" w14:textId="77777777" w:rsidR="00AE2C11" w:rsidRPr="00AE2C11" w:rsidRDefault="00AE2C11" w:rsidP="00830945">
            <w:pPr>
              <w:pStyle w:val="NoSpacing"/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 w:rsidRPr="00AE2C11">
              <w:rPr>
                <w:rFonts w:ascii="Times New Roman" w:hAnsi="Times New Roman" w:cs="Times New Roman"/>
                <w:color w:val="auto"/>
              </w:rPr>
              <w:t>Database</w:t>
            </w:r>
          </w:p>
        </w:tc>
        <w:tc>
          <w:tcPr>
            <w:tcW w:w="4320" w:type="dxa"/>
            <w:hideMark/>
          </w:tcPr>
          <w:p w14:paraId="152E5B15" w14:textId="77777777" w:rsidR="00AE2C11" w:rsidRPr="00AE2C11" w:rsidRDefault="00AE2C11" w:rsidP="00830945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AE2C11">
              <w:rPr>
                <w:rFonts w:ascii="Times New Roman" w:hAnsi="Times New Roman" w:cs="Times New Roman"/>
                <w:color w:val="auto"/>
              </w:rPr>
              <w:t>Total population in database with observation time in 2016 and at least 1 visit</w:t>
            </w:r>
          </w:p>
        </w:tc>
        <w:tc>
          <w:tcPr>
            <w:tcW w:w="3150" w:type="dxa"/>
            <w:hideMark/>
          </w:tcPr>
          <w:p w14:paraId="2E68F811" w14:textId="77777777" w:rsidR="00AE2C11" w:rsidRPr="00AE2C11" w:rsidRDefault="00AE2C11" w:rsidP="00830945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AE2C11">
              <w:rPr>
                <w:rFonts w:ascii="Times New Roman" w:hAnsi="Times New Roman" w:cs="Times New Roman"/>
                <w:color w:val="auto"/>
              </w:rPr>
              <w:t>Aged 10 to 17 with observation time 2016 and at least 1 visit</w:t>
            </w:r>
          </w:p>
        </w:tc>
        <w:tc>
          <w:tcPr>
            <w:tcW w:w="715" w:type="dxa"/>
          </w:tcPr>
          <w:p w14:paraId="0C0169F0" w14:textId="6F480234" w:rsidR="00AE2C11" w:rsidRPr="00AE2C11" w:rsidRDefault="00AE2C11" w:rsidP="00830945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</w:rPr>
            </w:pPr>
            <w:r w:rsidRPr="00AE2C11">
              <w:rPr>
                <w:rFonts w:ascii="Times New Roman" w:hAnsi="Times New Roman" w:cs="Times New Roman"/>
                <w:color w:val="auto"/>
              </w:rPr>
              <w:t>%</w:t>
            </w:r>
            <w:r w:rsidR="00C26F1F"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</w:tc>
      </w:tr>
      <w:tr w:rsidR="00C26F1F" w:rsidRPr="00AE2C11" w14:paraId="5CB66D3E" w14:textId="77777777" w:rsidTr="001F65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044E9752" w14:textId="77777777" w:rsidR="00AE2C11" w:rsidRPr="00AE2C11" w:rsidRDefault="00AE2C11" w:rsidP="00830945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E2C11">
              <w:rPr>
                <w:rFonts w:ascii="Times New Roman" w:hAnsi="Times New Roman" w:cs="Times New Roman"/>
                <w:color w:val="000000"/>
              </w:rPr>
              <w:t>CCAE</w:t>
            </w:r>
            <w:proofErr w:type="spellEnd"/>
          </w:p>
        </w:tc>
        <w:tc>
          <w:tcPr>
            <w:tcW w:w="4320" w:type="dxa"/>
            <w:noWrap/>
            <w:hideMark/>
          </w:tcPr>
          <w:p w14:paraId="560FDB56" w14:textId="77777777" w:rsidR="00AE2C11" w:rsidRPr="00AE2C11" w:rsidRDefault="00AE2C11" w:rsidP="0083094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E2C11">
              <w:rPr>
                <w:rFonts w:ascii="Times New Roman" w:hAnsi="Times New Roman" w:cs="Times New Roman"/>
                <w:color w:val="000000"/>
              </w:rPr>
              <w:t xml:space="preserve">                    16,478,892 </w:t>
            </w:r>
          </w:p>
        </w:tc>
        <w:tc>
          <w:tcPr>
            <w:tcW w:w="3150" w:type="dxa"/>
            <w:noWrap/>
            <w:hideMark/>
          </w:tcPr>
          <w:p w14:paraId="395E5513" w14:textId="77777777" w:rsidR="00AE2C11" w:rsidRPr="00AE2C11" w:rsidRDefault="00AE2C11" w:rsidP="0083094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E2C11">
              <w:rPr>
                <w:rFonts w:ascii="Times New Roman" w:hAnsi="Times New Roman" w:cs="Times New Roman"/>
                <w:color w:val="000000"/>
              </w:rPr>
              <w:t xml:space="preserve">              1,985,478 </w:t>
            </w:r>
          </w:p>
        </w:tc>
        <w:tc>
          <w:tcPr>
            <w:tcW w:w="715" w:type="dxa"/>
          </w:tcPr>
          <w:p w14:paraId="72F283C7" w14:textId="7ED92850" w:rsidR="00AE2C11" w:rsidRPr="00AE2C11" w:rsidRDefault="00AE2C11" w:rsidP="0083094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E2C11">
              <w:rPr>
                <w:rFonts w:ascii="Times New Roman" w:hAnsi="Times New Roman" w:cs="Times New Roman"/>
                <w:color w:val="000000"/>
              </w:rPr>
              <w:t>12.05</w:t>
            </w:r>
          </w:p>
        </w:tc>
      </w:tr>
      <w:tr w:rsidR="00AE2C11" w:rsidRPr="00AE2C11" w14:paraId="45A0CC45" w14:textId="77777777" w:rsidTr="001F655E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5D89B86A" w14:textId="77777777" w:rsidR="00AE2C11" w:rsidRPr="00AE2C11" w:rsidRDefault="00AE2C11" w:rsidP="00830945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  <w:r w:rsidRPr="00AE2C11">
              <w:rPr>
                <w:rFonts w:ascii="Times New Roman" w:hAnsi="Times New Roman" w:cs="Times New Roman"/>
                <w:color w:val="000000"/>
              </w:rPr>
              <w:t>Optum</w:t>
            </w:r>
          </w:p>
        </w:tc>
        <w:tc>
          <w:tcPr>
            <w:tcW w:w="4320" w:type="dxa"/>
            <w:noWrap/>
            <w:hideMark/>
          </w:tcPr>
          <w:p w14:paraId="0774B2FF" w14:textId="77777777" w:rsidR="00AE2C11" w:rsidRPr="00AE2C11" w:rsidRDefault="00AE2C11" w:rsidP="0083094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E2C11">
              <w:rPr>
                <w:rFonts w:ascii="Times New Roman" w:hAnsi="Times New Roman" w:cs="Times New Roman"/>
                <w:color w:val="000000"/>
              </w:rPr>
              <w:t xml:space="preserve">                    10,402,217 </w:t>
            </w:r>
          </w:p>
        </w:tc>
        <w:tc>
          <w:tcPr>
            <w:tcW w:w="3150" w:type="dxa"/>
            <w:noWrap/>
            <w:hideMark/>
          </w:tcPr>
          <w:p w14:paraId="2303971D" w14:textId="77777777" w:rsidR="00AE2C11" w:rsidRPr="00AE2C11" w:rsidRDefault="00AE2C11" w:rsidP="0083094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E2C11">
              <w:rPr>
                <w:rFonts w:ascii="Times New Roman" w:hAnsi="Times New Roman" w:cs="Times New Roman"/>
                <w:color w:val="000000"/>
              </w:rPr>
              <w:t xml:space="preserve">                  781,280 </w:t>
            </w:r>
          </w:p>
        </w:tc>
        <w:tc>
          <w:tcPr>
            <w:tcW w:w="715" w:type="dxa"/>
          </w:tcPr>
          <w:p w14:paraId="5BC8E908" w14:textId="6BEC802B" w:rsidR="00AE2C11" w:rsidRPr="00AE2C11" w:rsidRDefault="00AE2C11" w:rsidP="0083094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E2C11">
              <w:rPr>
                <w:rFonts w:ascii="Times New Roman" w:hAnsi="Times New Roman" w:cs="Times New Roman"/>
                <w:color w:val="000000"/>
              </w:rPr>
              <w:t>7.51</w:t>
            </w:r>
          </w:p>
        </w:tc>
      </w:tr>
      <w:tr w:rsidR="00C26F1F" w:rsidRPr="00AE2C11" w14:paraId="41E90B73" w14:textId="77777777" w:rsidTr="001F65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44C95047" w14:textId="77777777" w:rsidR="00AE2C11" w:rsidRPr="00AE2C11" w:rsidRDefault="00AE2C11" w:rsidP="00830945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  <w:r w:rsidRPr="00AE2C11">
              <w:rPr>
                <w:rFonts w:ascii="Times New Roman" w:hAnsi="Times New Roman" w:cs="Times New Roman"/>
                <w:color w:val="000000"/>
              </w:rPr>
              <w:t>MDCD</w:t>
            </w:r>
          </w:p>
        </w:tc>
        <w:tc>
          <w:tcPr>
            <w:tcW w:w="4320" w:type="dxa"/>
            <w:noWrap/>
            <w:hideMark/>
          </w:tcPr>
          <w:p w14:paraId="7A198C21" w14:textId="77777777" w:rsidR="00AE2C11" w:rsidRPr="00AE2C11" w:rsidRDefault="00AE2C11" w:rsidP="0083094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E2C11">
              <w:rPr>
                <w:rFonts w:ascii="Times New Roman" w:hAnsi="Times New Roman" w:cs="Times New Roman"/>
                <w:color w:val="000000"/>
              </w:rPr>
              <w:t xml:space="preserve">                      5,263,861 </w:t>
            </w:r>
          </w:p>
        </w:tc>
        <w:tc>
          <w:tcPr>
            <w:tcW w:w="3150" w:type="dxa"/>
            <w:noWrap/>
            <w:hideMark/>
          </w:tcPr>
          <w:p w14:paraId="4121D41C" w14:textId="77777777" w:rsidR="00AE2C11" w:rsidRPr="00AE2C11" w:rsidRDefault="00AE2C11" w:rsidP="0083094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E2C11">
              <w:rPr>
                <w:rFonts w:ascii="Times New Roman" w:hAnsi="Times New Roman" w:cs="Times New Roman"/>
                <w:color w:val="000000"/>
              </w:rPr>
              <w:t xml:space="preserve">              1,360,050 </w:t>
            </w:r>
          </w:p>
        </w:tc>
        <w:tc>
          <w:tcPr>
            <w:tcW w:w="715" w:type="dxa"/>
          </w:tcPr>
          <w:p w14:paraId="49D31568" w14:textId="6AFDDC3E" w:rsidR="00AE2C11" w:rsidRPr="00AE2C11" w:rsidRDefault="00AE2C11" w:rsidP="0083094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E2C11">
              <w:rPr>
                <w:rFonts w:ascii="Times New Roman" w:hAnsi="Times New Roman" w:cs="Times New Roman"/>
                <w:color w:val="000000"/>
              </w:rPr>
              <w:t>25.84</w:t>
            </w:r>
          </w:p>
        </w:tc>
      </w:tr>
      <w:tr w:rsidR="00AE2C11" w:rsidRPr="00AE2C11" w14:paraId="78A7D7C8" w14:textId="77777777" w:rsidTr="001F655E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</w:tcPr>
          <w:p w14:paraId="31D9F39B" w14:textId="2148099F" w:rsidR="00AE2C11" w:rsidRPr="009C75E6" w:rsidRDefault="00AE2C11" w:rsidP="00830945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9C75E6">
              <w:rPr>
                <w:rFonts w:ascii="Times New Roman" w:hAnsi="Times New Roman" w:cs="Times New Roman"/>
                <w:color w:val="000000"/>
              </w:rPr>
              <w:t>PEDSnet</w:t>
            </w:r>
          </w:p>
        </w:tc>
        <w:tc>
          <w:tcPr>
            <w:tcW w:w="4320" w:type="dxa"/>
            <w:noWrap/>
          </w:tcPr>
          <w:p w14:paraId="116356E1" w14:textId="6B2B6600" w:rsidR="00AE2C11" w:rsidRPr="009C75E6" w:rsidRDefault="00C26F1F" w:rsidP="00C26F1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                 </w:t>
            </w:r>
            <w:r w:rsidR="009C75E6" w:rsidRPr="009C75E6">
              <w:rPr>
                <w:rFonts w:ascii="Times New Roman" w:hAnsi="Times New Roman" w:cs="Times New Roman"/>
                <w:color w:val="000000"/>
              </w:rPr>
              <w:t>1,852,980</w:t>
            </w:r>
            <w:r w:rsidR="00900290">
              <w:rPr>
                <w:rFonts w:ascii="Times New Roman" w:hAnsi="Times New Roman" w:cs="Times New Roman"/>
                <w:color w:val="000000"/>
              </w:rPr>
              <w:t>*</w:t>
            </w:r>
          </w:p>
        </w:tc>
        <w:tc>
          <w:tcPr>
            <w:tcW w:w="3150" w:type="dxa"/>
            <w:noWrap/>
          </w:tcPr>
          <w:p w14:paraId="2B08B9DA" w14:textId="7AF503F0" w:rsidR="00AE2C11" w:rsidRPr="009C75E6" w:rsidRDefault="00C26F1F" w:rsidP="00C26F1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              </w:t>
            </w:r>
            <w:r w:rsidR="009C75E6" w:rsidRPr="009C75E6">
              <w:rPr>
                <w:rFonts w:ascii="Times New Roman" w:hAnsi="Times New Roman" w:cs="Times New Roman"/>
                <w:color w:val="000000"/>
              </w:rPr>
              <w:t>687,647</w:t>
            </w:r>
            <w:r w:rsidR="00900290">
              <w:rPr>
                <w:rFonts w:ascii="Times New Roman" w:hAnsi="Times New Roman" w:cs="Times New Roman"/>
                <w:color w:val="000000"/>
              </w:rPr>
              <w:t>*</w:t>
            </w:r>
          </w:p>
        </w:tc>
        <w:tc>
          <w:tcPr>
            <w:tcW w:w="715" w:type="dxa"/>
          </w:tcPr>
          <w:p w14:paraId="08CE97F2" w14:textId="27F722A6" w:rsidR="00AE2C11" w:rsidRPr="009C75E6" w:rsidRDefault="009C75E6" w:rsidP="0083094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C75E6">
              <w:rPr>
                <w:rFonts w:ascii="Times New Roman" w:hAnsi="Times New Roman" w:cs="Times New Roman"/>
                <w:color w:val="000000"/>
              </w:rPr>
              <w:t>37.11</w:t>
            </w:r>
          </w:p>
        </w:tc>
      </w:tr>
    </w:tbl>
    <w:p w14:paraId="27EDC08B" w14:textId="00B69B82" w:rsidR="00AE2C11" w:rsidRPr="00900290" w:rsidRDefault="00900290" w:rsidP="00F83FF6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eastAsia="Calibri"/>
          <w:color w:val="000000"/>
          <w:sz w:val="18"/>
          <w:szCs w:val="22"/>
        </w:rPr>
      </w:pPr>
      <w:r w:rsidRPr="00900290">
        <w:rPr>
          <w:rFonts w:eastAsia="Calibri"/>
          <w:color w:val="000000"/>
          <w:sz w:val="18"/>
          <w:szCs w:val="22"/>
        </w:rPr>
        <w:t>*PEDSnet utilized 2017 data.</w:t>
      </w:r>
    </w:p>
    <w:p w14:paraId="434AD694" w14:textId="2411BAE0" w:rsidR="00B96C20" w:rsidRDefault="00145C2C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eastAsia="Calibri"/>
          <w:color w:val="000000"/>
          <w:sz w:val="22"/>
          <w:szCs w:val="22"/>
        </w:rPr>
      </w:pPr>
      <w:r>
        <w:rPr>
          <w:rFonts w:eastAsia="Calibri"/>
          <w:b/>
          <w:color w:val="000000"/>
          <w:sz w:val="22"/>
          <w:szCs w:val="22"/>
        </w:rPr>
        <w:t>Figure</w:t>
      </w:r>
      <w:r w:rsidR="007D057B" w:rsidRPr="006723A5">
        <w:rPr>
          <w:rFonts w:eastAsia="Calibri"/>
          <w:b/>
          <w:color w:val="000000"/>
          <w:sz w:val="22"/>
          <w:szCs w:val="22"/>
        </w:rPr>
        <w:t xml:space="preserve"> 1. </w:t>
      </w:r>
      <w:r w:rsidR="00713434">
        <w:rPr>
          <w:rFonts w:eastAsia="Calibri"/>
          <w:color w:val="000000"/>
          <w:sz w:val="22"/>
          <w:szCs w:val="22"/>
        </w:rPr>
        <w:t>Match rate by database</w:t>
      </w:r>
      <w:r w:rsidR="008A5D44">
        <w:rPr>
          <w:rFonts w:eastAsia="Calibri"/>
          <w:color w:val="000000"/>
          <w:sz w:val="22"/>
          <w:szCs w:val="22"/>
        </w:rPr>
        <w:t xml:space="preserve"> and index population size</w:t>
      </w:r>
    </w:p>
    <w:p w14:paraId="7F0E83DB" w14:textId="77777777" w:rsidR="001F655E" w:rsidRDefault="00DF33FD" w:rsidP="001F655E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eastAsia="Calibri"/>
          <w:b/>
          <w:color w:val="000000"/>
          <w:sz w:val="22"/>
          <w:szCs w:val="22"/>
        </w:rPr>
      </w:pPr>
      <w:r>
        <w:rPr>
          <w:rFonts w:eastAsia="Calibri"/>
          <w:noProof/>
          <w:color w:val="000000"/>
          <w:sz w:val="22"/>
          <w:szCs w:val="22"/>
        </w:rPr>
        <w:drawing>
          <wp:inline distT="0" distB="0" distL="0" distR="0" wp14:anchorId="504E8A10" wp14:editId="4345DD42">
            <wp:extent cx="3566160" cy="2072519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160" cy="20725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1" w:name="_30j0zll" w:colFirst="0" w:colLast="0"/>
      <w:bookmarkEnd w:id="1"/>
    </w:p>
    <w:p w14:paraId="1BDD3DE8" w14:textId="3561ABF4" w:rsidR="0066009E" w:rsidRDefault="007D057B" w:rsidP="00A349F5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eastAsia="Calibri"/>
          <w:b/>
          <w:color w:val="000000"/>
          <w:sz w:val="22"/>
          <w:szCs w:val="22"/>
        </w:rPr>
      </w:pPr>
      <w:r w:rsidRPr="00A349F5">
        <w:rPr>
          <w:rFonts w:eastAsia="Calibri"/>
          <w:b/>
          <w:color w:val="000000"/>
          <w:sz w:val="22"/>
          <w:szCs w:val="22"/>
        </w:rPr>
        <w:t>Conclusion</w:t>
      </w:r>
    </w:p>
    <w:p w14:paraId="302E137B" w14:textId="6E0FA706" w:rsidR="00A454E2" w:rsidRPr="001F655E" w:rsidRDefault="00DB4BAF" w:rsidP="00D33F0F">
      <w:pPr>
        <w:pStyle w:val="AMIAAbstract"/>
        <w:rPr>
          <w:rFonts w:eastAsia="Calibri"/>
          <w:i w:val="0"/>
          <w:color w:val="000000"/>
          <w:sz w:val="22"/>
          <w:szCs w:val="22"/>
        </w:rPr>
      </w:pPr>
      <w:r>
        <w:rPr>
          <w:rFonts w:eastAsia="Calibri"/>
          <w:i w:val="0"/>
          <w:color w:val="000000"/>
          <w:sz w:val="22"/>
          <w:szCs w:val="22"/>
        </w:rPr>
        <w:t>Our study demonstrates the value of using the OHDSI tools to support generating real-world evidence that can meaningfully inform clinical trial design</w:t>
      </w:r>
      <w:r w:rsidR="00C26F1F">
        <w:rPr>
          <w:rFonts w:eastAsia="Calibri"/>
          <w:i w:val="0"/>
          <w:color w:val="000000"/>
          <w:sz w:val="22"/>
          <w:szCs w:val="22"/>
        </w:rPr>
        <w:t xml:space="preserve"> </w:t>
      </w:r>
      <w:r w:rsidR="009926E9">
        <w:rPr>
          <w:rFonts w:eastAsia="Calibri"/>
          <w:i w:val="0"/>
          <w:color w:val="000000"/>
          <w:sz w:val="22"/>
          <w:szCs w:val="22"/>
        </w:rPr>
        <w:t xml:space="preserve">and aid in recruitment and enrollment of eligible </w:t>
      </w:r>
      <w:r w:rsidR="001F655E">
        <w:rPr>
          <w:rFonts w:eastAsia="Calibri"/>
          <w:i w:val="0"/>
          <w:color w:val="000000"/>
          <w:sz w:val="22"/>
          <w:szCs w:val="22"/>
        </w:rPr>
        <w:t>populations.</w:t>
      </w:r>
      <w:r>
        <w:rPr>
          <w:rFonts w:eastAsia="Calibri"/>
          <w:i w:val="0"/>
          <w:color w:val="000000"/>
          <w:sz w:val="22"/>
          <w:szCs w:val="22"/>
        </w:rPr>
        <w:t xml:space="preserve">  Clinical trial inclusion criteria can often, but not always, be evaluated in observational data</w:t>
      </w:r>
      <w:r w:rsidR="00C720FC">
        <w:rPr>
          <w:rFonts w:eastAsia="Calibri"/>
          <w:i w:val="0"/>
          <w:color w:val="000000"/>
          <w:sz w:val="22"/>
          <w:szCs w:val="22"/>
        </w:rPr>
        <w:t xml:space="preserve"> and by the extension of including a pediatric network that contain possible sites for enrollment we can further validate the exercise of feasibility</w:t>
      </w:r>
      <w:r w:rsidR="00F40086">
        <w:rPr>
          <w:rFonts w:eastAsia="Calibri"/>
          <w:i w:val="0"/>
          <w:color w:val="000000"/>
          <w:sz w:val="22"/>
          <w:szCs w:val="22"/>
        </w:rPr>
        <w:t xml:space="preserve"> and its role in clinical development</w:t>
      </w:r>
      <w:r w:rsidR="006E1DDD">
        <w:rPr>
          <w:rFonts w:eastAsia="Calibri"/>
          <w:i w:val="0"/>
          <w:color w:val="000000"/>
          <w:sz w:val="22"/>
          <w:szCs w:val="22"/>
        </w:rPr>
        <w:t xml:space="preserve"> and patient recruitment</w:t>
      </w:r>
      <w:r w:rsidR="00F40086">
        <w:rPr>
          <w:rFonts w:eastAsia="Calibri"/>
          <w:i w:val="0"/>
          <w:color w:val="000000"/>
          <w:sz w:val="22"/>
          <w:szCs w:val="22"/>
        </w:rPr>
        <w:t>.</w:t>
      </w:r>
      <w:r w:rsidR="00152F30">
        <w:rPr>
          <w:rFonts w:eastAsia="Calibri"/>
          <w:i w:val="0"/>
          <w:color w:val="000000"/>
          <w:sz w:val="22"/>
          <w:szCs w:val="22"/>
        </w:rPr>
        <w:t xml:space="preserve"> </w:t>
      </w:r>
      <w:r w:rsidR="006E1DDD">
        <w:rPr>
          <w:rFonts w:eastAsia="Calibri"/>
          <w:i w:val="0"/>
          <w:color w:val="000000"/>
          <w:sz w:val="22"/>
          <w:szCs w:val="22"/>
        </w:rPr>
        <w:t xml:space="preserve">By assessing the </w:t>
      </w:r>
      <w:r>
        <w:rPr>
          <w:rFonts w:eastAsia="Calibri"/>
          <w:i w:val="0"/>
          <w:color w:val="000000"/>
          <w:sz w:val="22"/>
          <w:szCs w:val="22"/>
        </w:rPr>
        <w:t xml:space="preserve">impact of </w:t>
      </w:r>
      <w:r w:rsidR="006E1DDD">
        <w:rPr>
          <w:rFonts w:eastAsia="Calibri"/>
          <w:i w:val="0"/>
          <w:color w:val="000000"/>
          <w:sz w:val="22"/>
          <w:szCs w:val="22"/>
        </w:rPr>
        <w:t>protocol implementation</w:t>
      </w:r>
      <w:r>
        <w:rPr>
          <w:rFonts w:eastAsia="Calibri"/>
          <w:i w:val="0"/>
          <w:color w:val="000000"/>
          <w:sz w:val="22"/>
          <w:szCs w:val="22"/>
        </w:rPr>
        <w:t xml:space="preserve"> on the proportion of patients from a </w:t>
      </w:r>
      <w:r w:rsidR="006E1DDD">
        <w:rPr>
          <w:rFonts w:eastAsia="Calibri"/>
          <w:i w:val="0"/>
          <w:color w:val="000000"/>
          <w:sz w:val="22"/>
          <w:szCs w:val="22"/>
        </w:rPr>
        <w:t>clinical trial</w:t>
      </w:r>
      <w:r w:rsidR="00EB0110">
        <w:rPr>
          <w:rFonts w:eastAsia="Calibri"/>
          <w:i w:val="0"/>
          <w:color w:val="000000"/>
          <w:sz w:val="22"/>
          <w:szCs w:val="22"/>
        </w:rPr>
        <w:t xml:space="preserve"> </w:t>
      </w:r>
      <w:r w:rsidR="00810196">
        <w:rPr>
          <w:rFonts w:eastAsia="Calibri"/>
          <w:i w:val="0"/>
          <w:color w:val="000000"/>
          <w:sz w:val="22"/>
          <w:szCs w:val="22"/>
        </w:rPr>
        <w:t xml:space="preserve">with </w:t>
      </w:r>
      <w:r w:rsidR="00432A6E">
        <w:rPr>
          <w:rFonts w:eastAsia="Calibri"/>
          <w:i w:val="0"/>
          <w:color w:val="000000"/>
          <w:sz w:val="22"/>
          <w:szCs w:val="22"/>
        </w:rPr>
        <w:t>the</w:t>
      </w:r>
      <w:r w:rsidR="00EB0110">
        <w:rPr>
          <w:rFonts w:eastAsia="Calibri"/>
          <w:i w:val="0"/>
          <w:color w:val="000000"/>
          <w:sz w:val="22"/>
          <w:szCs w:val="22"/>
        </w:rPr>
        <w:t xml:space="preserve"> OHDSI </w:t>
      </w:r>
      <w:r w:rsidR="00432A6E">
        <w:rPr>
          <w:rFonts w:eastAsia="Calibri"/>
          <w:i w:val="0"/>
          <w:color w:val="000000"/>
          <w:sz w:val="22"/>
          <w:szCs w:val="22"/>
        </w:rPr>
        <w:t xml:space="preserve">framework </w:t>
      </w:r>
      <w:r w:rsidR="006E1DDD">
        <w:rPr>
          <w:rFonts w:eastAsia="Calibri"/>
          <w:i w:val="0"/>
          <w:color w:val="000000"/>
          <w:sz w:val="22"/>
          <w:szCs w:val="22"/>
        </w:rPr>
        <w:t>provide</w:t>
      </w:r>
      <w:r w:rsidR="00810196">
        <w:rPr>
          <w:rFonts w:eastAsia="Calibri"/>
          <w:i w:val="0"/>
          <w:color w:val="000000"/>
          <w:sz w:val="22"/>
          <w:szCs w:val="22"/>
        </w:rPr>
        <w:t>s</w:t>
      </w:r>
      <w:r w:rsidR="006E1DDD">
        <w:rPr>
          <w:rFonts w:eastAsia="Calibri"/>
          <w:i w:val="0"/>
          <w:color w:val="000000"/>
          <w:sz w:val="22"/>
          <w:szCs w:val="22"/>
        </w:rPr>
        <w:t xml:space="preserve"> </w:t>
      </w:r>
      <w:r w:rsidR="003172E4">
        <w:rPr>
          <w:rFonts w:eastAsia="Calibri"/>
          <w:i w:val="0"/>
          <w:color w:val="000000"/>
          <w:sz w:val="22"/>
          <w:szCs w:val="22"/>
        </w:rPr>
        <w:t xml:space="preserve">an avenue to understand feasibility of a population as well as a path to recruit patients from </w:t>
      </w:r>
      <w:r w:rsidR="00432A6E">
        <w:rPr>
          <w:rFonts w:eastAsia="Calibri"/>
          <w:i w:val="0"/>
          <w:color w:val="000000"/>
          <w:sz w:val="22"/>
          <w:szCs w:val="22"/>
        </w:rPr>
        <w:t>data networks</w:t>
      </w:r>
      <w:r w:rsidR="003172E4">
        <w:rPr>
          <w:rFonts w:eastAsia="Calibri"/>
          <w:i w:val="0"/>
          <w:color w:val="000000"/>
          <w:sz w:val="22"/>
          <w:szCs w:val="22"/>
        </w:rPr>
        <w:t>.</w:t>
      </w:r>
      <w:r w:rsidR="006E1DDD">
        <w:rPr>
          <w:rFonts w:eastAsia="Calibri"/>
          <w:i w:val="0"/>
          <w:color w:val="000000"/>
          <w:sz w:val="22"/>
          <w:szCs w:val="22"/>
        </w:rPr>
        <w:t xml:space="preserve"> </w:t>
      </w:r>
    </w:p>
    <w:p w14:paraId="5F0B9EDA" w14:textId="77777777" w:rsidR="00B96C20" w:rsidRPr="00737C7E" w:rsidRDefault="007D057B" w:rsidP="00244804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eastAsia="Calibri"/>
          <w:b/>
          <w:color w:val="000000"/>
          <w:sz w:val="22"/>
          <w:szCs w:val="22"/>
        </w:rPr>
      </w:pPr>
      <w:r w:rsidRPr="00737C7E">
        <w:rPr>
          <w:rFonts w:eastAsia="Calibri"/>
          <w:b/>
          <w:color w:val="000000"/>
          <w:sz w:val="22"/>
          <w:szCs w:val="22"/>
        </w:rPr>
        <w:lastRenderedPageBreak/>
        <w:t>References</w:t>
      </w:r>
    </w:p>
    <w:p w14:paraId="5BDA082E" w14:textId="77777777" w:rsidR="00737C7E" w:rsidRPr="00737C7E" w:rsidRDefault="00737C7E" w:rsidP="00737C7E">
      <w:pPr>
        <w:pStyle w:val="ListParagraph"/>
        <w:numPr>
          <w:ilvl w:val="0"/>
          <w:numId w:val="1"/>
        </w:numPr>
        <w:rPr>
          <w:noProof/>
          <w:sz w:val="22"/>
          <w:szCs w:val="22"/>
        </w:rPr>
      </w:pPr>
      <w:bookmarkStart w:id="2" w:name="_ENREF_37"/>
      <w:r w:rsidRPr="00737C7E">
        <w:rPr>
          <w:noProof/>
          <w:sz w:val="22"/>
          <w:szCs w:val="22"/>
        </w:rPr>
        <w:t xml:space="preserve">Voss, E.A., et al., </w:t>
      </w:r>
      <w:r w:rsidRPr="00737C7E">
        <w:rPr>
          <w:i/>
          <w:noProof/>
          <w:sz w:val="22"/>
          <w:szCs w:val="22"/>
        </w:rPr>
        <w:t>Accuracy of an automated knowledge base for identifying drug adverse reactions.</w:t>
      </w:r>
      <w:r w:rsidRPr="00737C7E">
        <w:rPr>
          <w:noProof/>
          <w:sz w:val="22"/>
          <w:szCs w:val="22"/>
        </w:rPr>
        <w:t xml:space="preserve"> J Biomed Inform, 2017. </w:t>
      </w:r>
      <w:r w:rsidRPr="00737C7E">
        <w:rPr>
          <w:b/>
          <w:noProof/>
          <w:sz w:val="22"/>
          <w:szCs w:val="22"/>
        </w:rPr>
        <w:t>66</w:t>
      </w:r>
      <w:r w:rsidRPr="00737C7E">
        <w:rPr>
          <w:noProof/>
          <w:sz w:val="22"/>
          <w:szCs w:val="22"/>
        </w:rPr>
        <w:t>: p. 72-81.</w:t>
      </w:r>
      <w:bookmarkEnd w:id="2"/>
    </w:p>
    <w:p w14:paraId="5678B7A2" w14:textId="77777777" w:rsidR="00737C7E" w:rsidRPr="00737C7E" w:rsidRDefault="00737C7E" w:rsidP="00737C7E">
      <w:pPr>
        <w:pStyle w:val="ListParagraph"/>
        <w:numPr>
          <w:ilvl w:val="0"/>
          <w:numId w:val="1"/>
        </w:numPr>
        <w:rPr>
          <w:noProof/>
          <w:sz w:val="22"/>
          <w:szCs w:val="22"/>
        </w:rPr>
      </w:pPr>
      <w:bookmarkStart w:id="3" w:name="_ENREF_38"/>
      <w:r w:rsidRPr="00737C7E">
        <w:rPr>
          <w:noProof/>
          <w:sz w:val="22"/>
          <w:szCs w:val="22"/>
        </w:rPr>
        <w:t xml:space="preserve">Christian Reich, et al. </w:t>
      </w:r>
      <w:r w:rsidRPr="00737C7E">
        <w:rPr>
          <w:i/>
          <w:noProof/>
          <w:sz w:val="22"/>
          <w:szCs w:val="22"/>
        </w:rPr>
        <w:t>OHDSI/CommonDataModel</w:t>
      </w:r>
      <w:r w:rsidRPr="00737C7E">
        <w:rPr>
          <w:noProof/>
          <w:sz w:val="22"/>
          <w:szCs w:val="22"/>
        </w:rPr>
        <w:t>. 2018  [cited 2018 06/26/2018]; Available from: https://github.com/OHDSI/CommonDataModel/wiki.</w:t>
      </w:r>
      <w:bookmarkEnd w:id="3"/>
    </w:p>
    <w:p w14:paraId="7029A368" w14:textId="77777777" w:rsidR="008A0215" w:rsidRDefault="008A0215" w:rsidP="00462182">
      <w:pPr>
        <w:pStyle w:val="ListParagraph"/>
        <w:numPr>
          <w:ilvl w:val="0"/>
          <w:numId w:val="1"/>
        </w:numPr>
        <w:rPr>
          <w:noProof/>
          <w:sz w:val="22"/>
          <w:szCs w:val="22"/>
        </w:rPr>
      </w:pPr>
      <w:r>
        <w:rPr>
          <w:noProof/>
          <w:sz w:val="22"/>
          <w:szCs w:val="22"/>
        </w:rPr>
        <w:t>Github Repository</w:t>
      </w:r>
      <w:r w:rsidR="00462182">
        <w:rPr>
          <w:noProof/>
          <w:sz w:val="22"/>
          <w:szCs w:val="22"/>
        </w:rPr>
        <w:t xml:space="preserve">; Available from: </w:t>
      </w:r>
      <w:r w:rsidR="00462182" w:rsidRPr="00462182">
        <w:rPr>
          <w:noProof/>
          <w:sz w:val="22"/>
          <w:szCs w:val="22"/>
        </w:rPr>
        <w:t>https://github.com/OHDSI/Atlas</w:t>
      </w:r>
    </w:p>
    <w:p w14:paraId="086EB9A8" w14:textId="77777777" w:rsidR="008B10CD" w:rsidRPr="009072E7" w:rsidRDefault="00073800" w:rsidP="009072E7">
      <w:pPr>
        <w:pStyle w:val="ListParagraph"/>
        <w:numPr>
          <w:ilvl w:val="0"/>
          <w:numId w:val="1"/>
        </w:numPr>
        <w:rPr>
          <w:noProof/>
          <w:sz w:val="22"/>
          <w:szCs w:val="22"/>
        </w:rPr>
      </w:pPr>
      <w:r w:rsidRPr="009072E7">
        <w:rPr>
          <w:noProof/>
          <w:sz w:val="22"/>
          <w:szCs w:val="22"/>
        </w:rPr>
        <w:t xml:space="preserve">Makadia,R.,et al.,  </w:t>
      </w:r>
      <w:r w:rsidR="009072E7" w:rsidRPr="009072E7">
        <w:rPr>
          <w:noProof/>
          <w:sz w:val="22"/>
          <w:szCs w:val="22"/>
        </w:rPr>
        <w:t xml:space="preserve">Using OHDSI Tools to conduct clinical trial feasibility. </w:t>
      </w:r>
      <w:r w:rsidR="008B10CD" w:rsidRPr="009072E7">
        <w:rPr>
          <w:noProof/>
          <w:sz w:val="22"/>
          <w:szCs w:val="22"/>
        </w:rPr>
        <w:t xml:space="preserve">http://www.ohdsi.org/web/wiki/lib/exe/fetch.php?media=resources:using_ohdsi_tools_makadia_forlenza_v3.pdf </w:t>
      </w:r>
    </w:p>
    <w:p w14:paraId="1AD512AA" w14:textId="77777777" w:rsidR="00B96C20" w:rsidRPr="00737C7E" w:rsidRDefault="00B96C20" w:rsidP="009072E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libri"/>
          <w:sz w:val="22"/>
          <w:szCs w:val="22"/>
        </w:rPr>
      </w:pPr>
    </w:p>
    <w:sectPr w:rsidR="00B96C20" w:rsidRPr="00737C7E">
      <w:type w:val="continuous"/>
      <w:pgSz w:w="12240" w:h="15840"/>
      <w:pgMar w:top="1440" w:right="1440" w:bottom="1440" w:left="1440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457E5A" w14:textId="77777777" w:rsidR="00B015C3" w:rsidRDefault="00B015C3">
      <w:r>
        <w:separator/>
      </w:r>
    </w:p>
  </w:endnote>
  <w:endnote w:type="continuationSeparator" w:id="0">
    <w:p w14:paraId="7DDCD835" w14:textId="77777777" w:rsidR="00B015C3" w:rsidRDefault="00B01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088A3B" w14:textId="77777777" w:rsidR="00DD0CA1" w:rsidRDefault="00DD0CA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2ACF37" w14:textId="77777777" w:rsidR="00B96C20" w:rsidRDefault="00B96C2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</w:p>
  <w:p w14:paraId="795C31CA" w14:textId="77777777" w:rsidR="00B96C20" w:rsidRDefault="00B96C2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720"/>
      <w:ind w:right="360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0628B2" w14:textId="77777777" w:rsidR="00DD0CA1" w:rsidRDefault="00DD0C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6FBFE3" w14:textId="77777777" w:rsidR="00B015C3" w:rsidRDefault="00B015C3">
      <w:r>
        <w:separator/>
      </w:r>
    </w:p>
  </w:footnote>
  <w:footnote w:type="continuationSeparator" w:id="0">
    <w:p w14:paraId="79102A54" w14:textId="77777777" w:rsidR="00B015C3" w:rsidRDefault="00B015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DC1105" w14:textId="77777777" w:rsidR="00DD0CA1" w:rsidRDefault="00DD0CA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1A789A" w14:textId="77777777" w:rsidR="00DD0CA1" w:rsidRDefault="00DD0CA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884A25" w14:textId="77777777" w:rsidR="00DD0CA1" w:rsidRDefault="00DD0C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8951C7"/>
    <w:multiLevelType w:val="multilevel"/>
    <w:tmpl w:val="F2343E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trackRevisions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C20"/>
    <w:rsid w:val="00007AB5"/>
    <w:rsid w:val="00014406"/>
    <w:rsid w:val="00022BD3"/>
    <w:rsid w:val="00025FDB"/>
    <w:rsid w:val="0002782B"/>
    <w:rsid w:val="00045789"/>
    <w:rsid w:val="000613BD"/>
    <w:rsid w:val="00071AF8"/>
    <w:rsid w:val="00073800"/>
    <w:rsid w:val="000801AD"/>
    <w:rsid w:val="00081C97"/>
    <w:rsid w:val="000D40CE"/>
    <w:rsid w:val="000E2A70"/>
    <w:rsid w:val="000F0DAB"/>
    <w:rsid w:val="000F5A89"/>
    <w:rsid w:val="00100C66"/>
    <w:rsid w:val="001100C9"/>
    <w:rsid w:val="00124D3C"/>
    <w:rsid w:val="00145C2C"/>
    <w:rsid w:val="001470FE"/>
    <w:rsid w:val="00152F30"/>
    <w:rsid w:val="00153EAA"/>
    <w:rsid w:val="0016229C"/>
    <w:rsid w:val="00164EB6"/>
    <w:rsid w:val="001A070F"/>
    <w:rsid w:val="001A46FC"/>
    <w:rsid w:val="001E50A2"/>
    <w:rsid w:val="001F13DD"/>
    <w:rsid w:val="001F655E"/>
    <w:rsid w:val="002120D6"/>
    <w:rsid w:val="002224C7"/>
    <w:rsid w:val="00236734"/>
    <w:rsid w:val="00244804"/>
    <w:rsid w:val="00261F09"/>
    <w:rsid w:val="00264181"/>
    <w:rsid w:val="00273689"/>
    <w:rsid w:val="00281C98"/>
    <w:rsid w:val="00295E07"/>
    <w:rsid w:val="002D0710"/>
    <w:rsid w:val="002D1A10"/>
    <w:rsid w:val="002E5A15"/>
    <w:rsid w:val="002F5C24"/>
    <w:rsid w:val="00304197"/>
    <w:rsid w:val="003172E4"/>
    <w:rsid w:val="00324AE5"/>
    <w:rsid w:val="00331EF5"/>
    <w:rsid w:val="00350A44"/>
    <w:rsid w:val="003573F1"/>
    <w:rsid w:val="00362526"/>
    <w:rsid w:val="003746ED"/>
    <w:rsid w:val="00385016"/>
    <w:rsid w:val="003E33F6"/>
    <w:rsid w:val="003E5BE4"/>
    <w:rsid w:val="0040000D"/>
    <w:rsid w:val="00402299"/>
    <w:rsid w:val="00406626"/>
    <w:rsid w:val="00427AC6"/>
    <w:rsid w:val="00432A6E"/>
    <w:rsid w:val="00434BBB"/>
    <w:rsid w:val="00436478"/>
    <w:rsid w:val="00462182"/>
    <w:rsid w:val="00476119"/>
    <w:rsid w:val="00493DC7"/>
    <w:rsid w:val="004A1E4C"/>
    <w:rsid w:val="004B59CC"/>
    <w:rsid w:val="004B5F89"/>
    <w:rsid w:val="004E47C9"/>
    <w:rsid w:val="004F0B46"/>
    <w:rsid w:val="00501037"/>
    <w:rsid w:val="00501E02"/>
    <w:rsid w:val="005044F6"/>
    <w:rsid w:val="005143B2"/>
    <w:rsid w:val="00536256"/>
    <w:rsid w:val="00542971"/>
    <w:rsid w:val="00552C07"/>
    <w:rsid w:val="00557BF7"/>
    <w:rsid w:val="00562341"/>
    <w:rsid w:val="00572852"/>
    <w:rsid w:val="005805FF"/>
    <w:rsid w:val="005A4730"/>
    <w:rsid w:val="005A7F7D"/>
    <w:rsid w:val="005B0E16"/>
    <w:rsid w:val="005B2415"/>
    <w:rsid w:val="005B6A70"/>
    <w:rsid w:val="005F4975"/>
    <w:rsid w:val="005F6347"/>
    <w:rsid w:val="006027B3"/>
    <w:rsid w:val="0061047C"/>
    <w:rsid w:val="0065744E"/>
    <w:rsid w:val="0066009E"/>
    <w:rsid w:val="00660537"/>
    <w:rsid w:val="0066233E"/>
    <w:rsid w:val="00663B49"/>
    <w:rsid w:val="006642C3"/>
    <w:rsid w:val="006723A5"/>
    <w:rsid w:val="00676809"/>
    <w:rsid w:val="006815A9"/>
    <w:rsid w:val="006904D9"/>
    <w:rsid w:val="006920FE"/>
    <w:rsid w:val="006941F1"/>
    <w:rsid w:val="006A25F8"/>
    <w:rsid w:val="006B5875"/>
    <w:rsid w:val="006C040C"/>
    <w:rsid w:val="006D7BAA"/>
    <w:rsid w:val="006E1DDD"/>
    <w:rsid w:val="00713434"/>
    <w:rsid w:val="00714646"/>
    <w:rsid w:val="00715708"/>
    <w:rsid w:val="00737C7E"/>
    <w:rsid w:val="007513D1"/>
    <w:rsid w:val="007915C5"/>
    <w:rsid w:val="00792CFB"/>
    <w:rsid w:val="007D057B"/>
    <w:rsid w:val="007E6DFC"/>
    <w:rsid w:val="00802E89"/>
    <w:rsid w:val="00810196"/>
    <w:rsid w:val="00817757"/>
    <w:rsid w:val="00817F07"/>
    <w:rsid w:val="00833924"/>
    <w:rsid w:val="00833B92"/>
    <w:rsid w:val="0085499C"/>
    <w:rsid w:val="0087078D"/>
    <w:rsid w:val="0087318E"/>
    <w:rsid w:val="00893DCC"/>
    <w:rsid w:val="008A0215"/>
    <w:rsid w:val="008A3441"/>
    <w:rsid w:val="008A5D44"/>
    <w:rsid w:val="008B10CD"/>
    <w:rsid w:val="008B67C9"/>
    <w:rsid w:val="008E3599"/>
    <w:rsid w:val="008E48F2"/>
    <w:rsid w:val="00900290"/>
    <w:rsid w:val="00900A2D"/>
    <w:rsid w:val="009072E7"/>
    <w:rsid w:val="00925451"/>
    <w:rsid w:val="0092745A"/>
    <w:rsid w:val="009509F2"/>
    <w:rsid w:val="00954D5D"/>
    <w:rsid w:val="00955015"/>
    <w:rsid w:val="009575A0"/>
    <w:rsid w:val="00957EBD"/>
    <w:rsid w:val="00960135"/>
    <w:rsid w:val="009670EC"/>
    <w:rsid w:val="009671CE"/>
    <w:rsid w:val="009926E9"/>
    <w:rsid w:val="009A72CE"/>
    <w:rsid w:val="009B4A6E"/>
    <w:rsid w:val="009B4F30"/>
    <w:rsid w:val="009B644A"/>
    <w:rsid w:val="009C67EC"/>
    <w:rsid w:val="009C75E6"/>
    <w:rsid w:val="009D17AF"/>
    <w:rsid w:val="009E09A9"/>
    <w:rsid w:val="009E3A11"/>
    <w:rsid w:val="009F20A2"/>
    <w:rsid w:val="009F2354"/>
    <w:rsid w:val="00A0783F"/>
    <w:rsid w:val="00A17E2B"/>
    <w:rsid w:val="00A349F5"/>
    <w:rsid w:val="00A454E2"/>
    <w:rsid w:val="00A45EE5"/>
    <w:rsid w:val="00A6307C"/>
    <w:rsid w:val="00A7672D"/>
    <w:rsid w:val="00A913D8"/>
    <w:rsid w:val="00AA3FEE"/>
    <w:rsid w:val="00AC5C20"/>
    <w:rsid w:val="00AD6439"/>
    <w:rsid w:val="00AE2C11"/>
    <w:rsid w:val="00AF113C"/>
    <w:rsid w:val="00B015C3"/>
    <w:rsid w:val="00B17A83"/>
    <w:rsid w:val="00B27621"/>
    <w:rsid w:val="00B546B0"/>
    <w:rsid w:val="00B63448"/>
    <w:rsid w:val="00B71394"/>
    <w:rsid w:val="00B75151"/>
    <w:rsid w:val="00B808E2"/>
    <w:rsid w:val="00B96C20"/>
    <w:rsid w:val="00BA4AA6"/>
    <w:rsid w:val="00BB196E"/>
    <w:rsid w:val="00BB2E57"/>
    <w:rsid w:val="00BC38AE"/>
    <w:rsid w:val="00BC4A84"/>
    <w:rsid w:val="00BC65A4"/>
    <w:rsid w:val="00BE7399"/>
    <w:rsid w:val="00BE7CD8"/>
    <w:rsid w:val="00BF1296"/>
    <w:rsid w:val="00C06156"/>
    <w:rsid w:val="00C06CFD"/>
    <w:rsid w:val="00C26F1F"/>
    <w:rsid w:val="00C541F2"/>
    <w:rsid w:val="00C6112C"/>
    <w:rsid w:val="00C720FC"/>
    <w:rsid w:val="00C760B9"/>
    <w:rsid w:val="00CB5DBD"/>
    <w:rsid w:val="00CC71A0"/>
    <w:rsid w:val="00CE18F3"/>
    <w:rsid w:val="00CF6F49"/>
    <w:rsid w:val="00D03C91"/>
    <w:rsid w:val="00D13DDC"/>
    <w:rsid w:val="00D3092E"/>
    <w:rsid w:val="00D33F0F"/>
    <w:rsid w:val="00D52937"/>
    <w:rsid w:val="00D608C8"/>
    <w:rsid w:val="00D9088C"/>
    <w:rsid w:val="00DB4BAF"/>
    <w:rsid w:val="00DB56F7"/>
    <w:rsid w:val="00DC2272"/>
    <w:rsid w:val="00DC5E9B"/>
    <w:rsid w:val="00DD0CA1"/>
    <w:rsid w:val="00DD5133"/>
    <w:rsid w:val="00DD6606"/>
    <w:rsid w:val="00DF32A2"/>
    <w:rsid w:val="00DF33FD"/>
    <w:rsid w:val="00E317B8"/>
    <w:rsid w:val="00E5503A"/>
    <w:rsid w:val="00EB0110"/>
    <w:rsid w:val="00ED074D"/>
    <w:rsid w:val="00EF33D4"/>
    <w:rsid w:val="00EF3703"/>
    <w:rsid w:val="00F116EA"/>
    <w:rsid w:val="00F2003F"/>
    <w:rsid w:val="00F23BCC"/>
    <w:rsid w:val="00F40086"/>
    <w:rsid w:val="00F70DFB"/>
    <w:rsid w:val="00F71D33"/>
    <w:rsid w:val="00F83FF6"/>
    <w:rsid w:val="00F87211"/>
    <w:rsid w:val="00F97FAC"/>
    <w:rsid w:val="00FD3FA3"/>
    <w:rsid w:val="00FD74A3"/>
    <w:rsid w:val="00FE2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42EE4E7"/>
  <w15:docId w15:val="{05428E9D-2563-49FD-BF36-2D984205F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120"/>
      <w:jc w:val="center"/>
      <w:outlineLvl w:val="0"/>
    </w:pPr>
    <w:rPr>
      <w:b/>
      <w:color w:val="000000"/>
    </w:rPr>
  </w:style>
  <w:style w:type="paragraph" w:styleId="Heading2">
    <w:name w:val="heading 2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jc w:val="center"/>
      <w:outlineLvl w:val="1"/>
    </w:pPr>
    <w:rPr>
      <w:b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jc w:val="center"/>
      <w:outlineLvl w:val="4"/>
    </w:pPr>
    <w:rPr>
      <w:b/>
      <w:color w:val="000000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AMIAAuthors">
    <w:name w:val="AMIA Authors"/>
    <w:basedOn w:val="Normal"/>
    <w:next w:val="AMIAAffiliations"/>
    <w:rsid w:val="00B808E2"/>
    <w:pPr>
      <w:widowControl/>
      <w:jc w:val="center"/>
    </w:pPr>
    <w:rPr>
      <w:b/>
      <w:sz w:val="24"/>
    </w:rPr>
  </w:style>
  <w:style w:type="paragraph" w:customStyle="1" w:styleId="AMIATitle">
    <w:name w:val="AMIA Title"/>
    <w:basedOn w:val="Normal"/>
    <w:next w:val="AMIAAuthors"/>
    <w:rsid w:val="00B808E2"/>
    <w:pPr>
      <w:widowControl/>
      <w:spacing w:after="280"/>
      <w:jc w:val="center"/>
    </w:pPr>
    <w:rPr>
      <w:b/>
      <w:sz w:val="28"/>
    </w:rPr>
  </w:style>
  <w:style w:type="paragraph" w:customStyle="1" w:styleId="AMIAAffiliations">
    <w:name w:val="AMIA Affiliations"/>
    <w:basedOn w:val="Normal"/>
    <w:rsid w:val="00B808E2"/>
    <w:pPr>
      <w:widowControl/>
      <w:spacing w:after="240"/>
      <w:jc w:val="center"/>
    </w:pPr>
    <w:rPr>
      <w:b/>
      <w:sz w:val="24"/>
    </w:rPr>
  </w:style>
  <w:style w:type="paragraph" w:customStyle="1" w:styleId="AMIABodyText">
    <w:name w:val="AMIA Body Text"/>
    <w:basedOn w:val="Normal"/>
    <w:rsid w:val="00B808E2"/>
    <w:pPr>
      <w:widowControl/>
      <w:suppressAutoHyphens/>
      <w:spacing w:after="120"/>
      <w:jc w:val="both"/>
    </w:pPr>
  </w:style>
  <w:style w:type="character" w:styleId="Hyperlink">
    <w:name w:val="Hyperlink"/>
    <w:basedOn w:val="DefaultParagraphFont"/>
    <w:uiPriority w:val="99"/>
    <w:semiHidden/>
    <w:unhideWhenUsed/>
    <w:rsid w:val="00B808E2"/>
    <w:rPr>
      <w:color w:val="0000FF"/>
      <w:u w:val="single"/>
    </w:rPr>
  </w:style>
  <w:style w:type="paragraph" w:customStyle="1" w:styleId="AMIAAbstract">
    <w:name w:val="AMIA Abstract"/>
    <w:basedOn w:val="Normal"/>
    <w:rsid w:val="009F2354"/>
    <w:pPr>
      <w:widowControl/>
      <w:spacing w:after="120"/>
      <w:jc w:val="both"/>
    </w:pPr>
    <w:rPr>
      <w:i/>
    </w:rPr>
  </w:style>
  <w:style w:type="character" w:styleId="CommentReference">
    <w:name w:val="annotation reference"/>
    <w:basedOn w:val="DefaultParagraphFont"/>
    <w:uiPriority w:val="99"/>
    <w:semiHidden/>
    <w:unhideWhenUsed/>
    <w:rsid w:val="00100C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00C66"/>
  </w:style>
  <w:style w:type="character" w:customStyle="1" w:styleId="CommentTextChar">
    <w:name w:val="Comment Text Char"/>
    <w:basedOn w:val="DefaultParagraphFont"/>
    <w:link w:val="CommentText"/>
    <w:uiPriority w:val="99"/>
    <w:rsid w:val="00100C6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0C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0C6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0C6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C6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22B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7C7E"/>
    <w:pPr>
      <w:ind w:left="720"/>
      <w:contextualSpacing/>
    </w:pPr>
  </w:style>
  <w:style w:type="paragraph" w:styleId="NoSpacing">
    <w:name w:val="No Spacing"/>
    <w:uiPriority w:val="1"/>
    <w:qFormat/>
    <w:rsid w:val="0085499C"/>
  </w:style>
  <w:style w:type="table" w:styleId="GridTable6Colorful">
    <w:name w:val="Grid Table 6 Colorful"/>
    <w:basedOn w:val="TableNormal"/>
    <w:uiPriority w:val="51"/>
    <w:rsid w:val="00AE2C11"/>
    <w:pPr>
      <w:widowControl/>
    </w:pPr>
    <w:rPr>
      <w:rFonts w:asciiTheme="minorHAnsi" w:eastAsiaTheme="minorHAnsi" w:hAnsiTheme="minorHAnsi" w:cstheme="min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DD0C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0CA1"/>
  </w:style>
  <w:style w:type="paragraph" w:styleId="Footer">
    <w:name w:val="footer"/>
    <w:basedOn w:val="Normal"/>
    <w:link w:val="FooterChar"/>
    <w:uiPriority w:val="99"/>
    <w:unhideWhenUsed/>
    <w:rsid w:val="00DD0C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0CA1"/>
  </w:style>
  <w:style w:type="paragraph" w:styleId="Revision">
    <w:name w:val="Revision"/>
    <w:hidden/>
    <w:uiPriority w:val="99"/>
    <w:semiHidden/>
    <w:rsid w:val="0087078D"/>
    <w:pPr>
      <w:widowControl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82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5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75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3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3</Pages>
  <Words>1034</Words>
  <Characters>5897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Makadia, Rupa [JRDUS]</dc:creator>
  <cp:keywords/>
  <dc:description/>
  <cp:lastModifiedBy>Makadia, Rupa [JRDUS]</cp:lastModifiedBy>
  <cp:revision>10</cp:revision>
  <dcterms:created xsi:type="dcterms:W3CDTF">2019-06-12T10:19:00Z</dcterms:created>
  <dcterms:modified xsi:type="dcterms:W3CDTF">2019-06-12T17:21:00Z</dcterms:modified>
</cp:coreProperties>
</file>