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A7D2B7" w14:textId="2CEBF762" w:rsidR="001B3ADC" w:rsidRPr="00E81D55" w:rsidRDefault="001B3ADC" w:rsidP="00914447">
      <w:pPr>
        <w:pStyle w:val="AMIATitle"/>
        <w:jc w:val="left"/>
        <w:rPr>
          <w:i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64"/>
        <w:gridCol w:w="4284"/>
      </w:tblGrid>
      <w:tr w:rsidR="001B3ADC" w14:paraId="18C70449" w14:textId="77777777" w:rsidTr="00FA239A">
        <w:trPr>
          <w:trHeight w:val="413"/>
          <w:jc w:val="center"/>
        </w:trPr>
        <w:tc>
          <w:tcPr>
            <w:tcW w:w="1764" w:type="dxa"/>
          </w:tcPr>
          <w:p w14:paraId="504BA42D" w14:textId="77777777" w:rsidR="001B3ADC" w:rsidRDefault="001B3ADC" w:rsidP="00FA239A">
            <w:r>
              <w:t>Name:</w:t>
            </w:r>
          </w:p>
        </w:tc>
        <w:tc>
          <w:tcPr>
            <w:tcW w:w="4284" w:type="dxa"/>
          </w:tcPr>
          <w:p w14:paraId="00E62932" w14:textId="77777777" w:rsidR="001B3ADC" w:rsidRDefault="001B3ADC" w:rsidP="00FA239A">
            <w:r>
              <w:t>Ross D. Williams</w:t>
            </w:r>
          </w:p>
        </w:tc>
      </w:tr>
      <w:tr w:rsidR="001B3ADC" w14:paraId="0E9D4747" w14:textId="77777777" w:rsidTr="00FA239A">
        <w:trPr>
          <w:jc w:val="center"/>
        </w:trPr>
        <w:tc>
          <w:tcPr>
            <w:tcW w:w="1764" w:type="dxa"/>
          </w:tcPr>
          <w:p w14:paraId="25FC22F0" w14:textId="77777777" w:rsidR="001B3ADC" w:rsidRDefault="001B3ADC" w:rsidP="00FA239A">
            <w:r>
              <w:t>Affiliation:</w:t>
            </w:r>
          </w:p>
        </w:tc>
        <w:tc>
          <w:tcPr>
            <w:tcW w:w="4284" w:type="dxa"/>
          </w:tcPr>
          <w:p w14:paraId="54D51BED" w14:textId="77777777" w:rsidR="001B3ADC" w:rsidRDefault="001B3ADC" w:rsidP="00FA239A">
            <w:r>
              <w:t>Erasmus MC, Rotterdam, The Netherlands</w:t>
            </w:r>
          </w:p>
        </w:tc>
      </w:tr>
      <w:tr w:rsidR="001B3ADC" w14:paraId="3D386D17" w14:textId="77777777" w:rsidTr="00FA239A">
        <w:trPr>
          <w:jc w:val="center"/>
        </w:trPr>
        <w:tc>
          <w:tcPr>
            <w:tcW w:w="1764" w:type="dxa"/>
          </w:tcPr>
          <w:p w14:paraId="7A29D9D0" w14:textId="77777777" w:rsidR="001B3ADC" w:rsidRDefault="001B3ADC" w:rsidP="00FA239A">
            <w:r>
              <w:t>Email:</w:t>
            </w:r>
          </w:p>
        </w:tc>
        <w:tc>
          <w:tcPr>
            <w:tcW w:w="4284" w:type="dxa"/>
          </w:tcPr>
          <w:p w14:paraId="3295F082" w14:textId="77777777" w:rsidR="001B3ADC" w:rsidRDefault="00B40CC9" w:rsidP="00FA239A">
            <w:hyperlink r:id="rId9" w:history="1">
              <w:r w:rsidR="001B3ADC" w:rsidRPr="00347F43">
                <w:rPr>
                  <w:rStyle w:val="Hyperlink"/>
                </w:rPr>
                <w:t>r.williams@erasmusmc.nl</w:t>
              </w:r>
            </w:hyperlink>
          </w:p>
        </w:tc>
      </w:tr>
      <w:tr w:rsidR="001B3ADC" w14:paraId="09DBDC0D" w14:textId="77777777" w:rsidTr="00FA239A">
        <w:trPr>
          <w:jc w:val="center"/>
        </w:trPr>
        <w:tc>
          <w:tcPr>
            <w:tcW w:w="1764" w:type="dxa"/>
          </w:tcPr>
          <w:p w14:paraId="38BDD83C" w14:textId="77777777" w:rsidR="001B3ADC" w:rsidRDefault="001B3ADC" w:rsidP="00FA239A">
            <w:r>
              <w:t>Presentation type (select one):</w:t>
            </w:r>
          </w:p>
        </w:tc>
        <w:tc>
          <w:tcPr>
            <w:tcW w:w="4284" w:type="dxa"/>
          </w:tcPr>
          <w:p w14:paraId="661D3735" w14:textId="77777777" w:rsidR="001B3ADC" w:rsidRPr="00477061" w:rsidRDefault="001B3ADC" w:rsidP="00FA239A">
            <w:pPr>
              <w:rPr>
                <w:b/>
              </w:rPr>
            </w:pPr>
            <w:r>
              <w:t>Poster</w:t>
            </w:r>
          </w:p>
        </w:tc>
      </w:tr>
    </w:tbl>
    <w:p w14:paraId="57905100" w14:textId="198AA68F" w:rsidR="00A2024A" w:rsidRDefault="000D68BB" w:rsidP="000D68BB">
      <w:pPr>
        <w:pStyle w:val="Heading1"/>
      </w:pPr>
      <w:bookmarkStart w:id="0" w:name="_GoBack"/>
      <w:bookmarkEnd w:id="0"/>
      <w:r>
        <w:t xml:space="preserve">Development and validation of patient-level prediction models for adverse outcomes following total knee arthroplasty </w:t>
      </w:r>
    </w:p>
    <w:p w14:paraId="15C343C0" w14:textId="77777777" w:rsidR="00A2024A" w:rsidRPr="00EF502A" w:rsidRDefault="00A2024A" w:rsidP="00A2024A">
      <w:pPr>
        <w:pStyle w:val="NormalWeb"/>
        <w:spacing w:before="0" w:beforeAutospacing="0" w:after="120" w:afterAutospacing="0"/>
        <w:jc w:val="both"/>
      </w:pPr>
      <w:r w:rsidRPr="00EF502A">
        <w:rPr>
          <w:rFonts w:ascii="Calibri" w:hAnsi="Calibri"/>
          <w:b/>
          <w:bCs/>
          <w:color w:val="000000"/>
        </w:rPr>
        <w:t>Is this the first time you have submitted your work to be displayed at any OHDSI Symposium?</w:t>
      </w:r>
    </w:p>
    <w:p w14:paraId="1349EAD9" w14:textId="0DB99290" w:rsidR="00A2024A" w:rsidRDefault="00A2024A" w:rsidP="00A2024A">
      <w:pPr>
        <w:pStyle w:val="NormalWeb"/>
        <w:spacing w:before="0" w:beforeAutospacing="0" w:after="120" w:afterAutospacing="0"/>
        <w:jc w:val="both"/>
      </w:pPr>
      <w:r w:rsidRPr="00EF502A">
        <w:rPr>
          <w:rFonts w:ascii="Calibri" w:hAnsi="Calibri"/>
          <w:b/>
          <w:bCs/>
          <w:color w:val="000000"/>
        </w:rPr>
        <w:t>No</w:t>
      </w:r>
    </w:p>
    <w:p w14:paraId="7FD66144" w14:textId="77777777" w:rsidR="000D68BB" w:rsidRPr="000D68BB" w:rsidRDefault="000D68BB" w:rsidP="000D68BB">
      <w:pPr>
        <w:keepNext/>
        <w:keepLines/>
        <w:spacing w:before="40" w:after="0" w:line="256" w:lineRule="auto"/>
        <w:outlineLvl w:val="2"/>
        <w:rPr>
          <w:rFonts w:ascii="Calibri Light" w:eastAsia="Times New Roman" w:hAnsi="Calibri Light" w:cs="Times New Roman"/>
          <w:color w:val="1F3763" w:themeColor="accent1" w:themeShade="7F"/>
          <w:sz w:val="24"/>
          <w:szCs w:val="24"/>
          <w:lang w:eastAsia="en-GB"/>
        </w:rPr>
      </w:pPr>
      <w:r w:rsidRPr="000D68BB">
        <w:rPr>
          <w:rFonts w:ascii="Calibri Light" w:eastAsia="Times New Roman" w:hAnsi="Calibri Light" w:cs="Times New Roman"/>
          <w:color w:val="1F3763" w:themeColor="accent1" w:themeShade="7F"/>
          <w:sz w:val="24"/>
          <w:szCs w:val="24"/>
          <w:lang w:eastAsia="en-GB"/>
        </w:rPr>
        <w:t>Background</w:t>
      </w:r>
    </w:p>
    <w:p w14:paraId="5E5E6AE8" w14:textId="77777777" w:rsidR="000D68BB" w:rsidRPr="000D68BB" w:rsidRDefault="000D68BB" w:rsidP="000D68BB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0D68BB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Elective total knee replacement (TKR) is a safe and cost-effective treatment for severe knee osteoarthritis (OA). Although complications following surgery are rare, prediction tools could help identify at risk subjects to target with preventative interventions. </w:t>
      </w:r>
    </w:p>
    <w:p w14:paraId="67383433" w14:textId="77777777" w:rsidR="000D68BB" w:rsidRPr="000D68BB" w:rsidRDefault="000D68BB" w:rsidP="000D68BB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</w:p>
    <w:p w14:paraId="72377446" w14:textId="77777777" w:rsidR="000D68BB" w:rsidRPr="000D68BB" w:rsidRDefault="000D68BB" w:rsidP="000D68BB">
      <w:pPr>
        <w:keepNext/>
        <w:keepLines/>
        <w:spacing w:before="40" w:after="0" w:line="256" w:lineRule="auto"/>
        <w:outlineLvl w:val="2"/>
        <w:rPr>
          <w:rFonts w:ascii="Calibri Light" w:eastAsia="Times New Roman" w:hAnsi="Calibri Light" w:cs="Times New Roman"/>
          <w:color w:val="1F3763" w:themeColor="accent1" w:themeShade="7F"/>
          <w:sz w:val="24"/>
          <w:szCs w:val="24"/>
          <w:lang w:eastAsia="en-GB"/>
        </w:rPr>
      </w:pPr>
      <w:r w:rsidRPr="000D68BB">
        <w:rPr>
          <w:rFonts w:ascii="Calibri Light" w:eastAsia="Times New Roman" w:hAnsi="Calibri Light" w:cs="Times New Roman"/>
          <w:color w:val="1F3763" w:themeColor="accent1" w:themeShade="7F"/>
          <w:sz w:val="24"/>
          <w:szCs w:val="24"/>
          <w:lang w:eastAsia="en-GB"/>
        </w:rPr>
        <w:t>Methods</w:t>
      </w:r>
    </w:p>
    <w:p w14:paraId="547482E9" w14:textId="77777777" w:rsidR="000D68BB" w:rsidRPr="000D68BB" w:rsidRDefault="000D68BB" w:rsidP="000D68BB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0D68BB">
        <w:rPr>
          <w:rFonts w:ascii="Calibri" w:eastAsia="Times New Roman" w:hAnsi="Calibri" w:cs="Arial"/>
          <w:sz w:val="24"/>
          <w:szCs w:val="24"/>
          <w:lang w:eastAsia="en-GB"/>
        </w:rPr>
        <w:t xml:space="preserve">We conducted a multinational, multi-database cohort analysis using electronic medical records and claims data from the US and the UK. 7 data sources were mapped to the </w:t>
      </w:r>
      <w:r w:rsidRPr="000D68BB">
        <w:rPr>
          <w:rFonts w:ascii="Calibri" w:eastAsia="Calibri" w:hAnsi="Calibri" w:cs="Arial"/>
          <w:sz w:val="24"/>
          <w:szCs w:val="24"/>
          <w:shd w:val="clear" w:color="auto" w:fill="FFFFFF"/>
        </w:rPr>
        <w:t>Observational Medical Outcomes Partnership</w:t>
      </w:r>
      <w:r w:rsidRPr="000D68BB">
        <w:rPr>
          <w:rFonts w:ascii="Calibri" w:eastAsia="Times New Roman" w:hAnsi="Calibri" w:cs="Arial"/>
          <w:sz w:val="24"/>
          <w:szCs w:val="24"/>
          <w:lang w:eastAsia="en-GB"/>
        </w:rPr>
        <w:t xml:space="preserve"> common data model (OMOP-CDM) and processed using a same analytical platform developed by the Observational Health Data Sciences and Informatics (OHDSI) initiative. All subjects undergoing a first TKR, aged </w:t>
      </w:r>
      <w:r w:rsidRPr="000D68BB">
        <w:rPr>
          <w:rFonts w:ascii="Calibri" w:eastAsia="Times New Roman" w:hAnsi="Calibri" w:cs="Arial"/>
          <w:bCs/>
          <w:iCs/>
          <w:sz w:val="24"/>
          <w:szCs w:val="24"/>
          <w:lang w:eastAsia="en-GB"/>
        </w:rPr>
        <w:t>40</w:t>
      </w:r>
      <w:r w:rsidRPr="000D68BB">
        <w:rPr>
          <w:rFonts w:ascii="Calibri" w:eastAsia="Times New Roman" w:hAnsi="Calibri" w:cs="Arial"/>
          <w:sz w:val="24"/>
          <w:szCs w:val="24"/>
          <w:lang w:eastAsia="en-GB"/>
        </w:rPr>
        <w:t xml:space="preserve"> years or older and registered in any of the contributing data sources for at least 1 year before surgery were included. Key adverse outcomes included post-operative (90-day) mortality, venous thrombo-embolism, infection, readmission; and long-term (5-year) revision surgery. Lasso logistic regression models were fit independently in </w:t>
      </w:r>
      <w:r w:rsidRPr="000D68BB">
        <w:rPr>
          <w:rFonts w:ascii="Calibri" w:eastAsia="Times New Roman" w:hAnsi="Calibri" w:cs="Arial"/>
          <w:bCs/>
          <w:iCs/>
          <w:sz w:val="24"/>
          <w:szCs w:val="24"/>
          <w:lang w:eastAsia="en-GB"/>
        </w:rPr>
        <w:t>5 data sources</w:t>
      </w:r>
      <w:r w:rsidRPr="000D68BB">
        <w:rPr>
          <w:rFonts w:ascii="Calibri" w:eastAsia="Times New Roman" w:hAnsi="Calibri" w:cs="Arial"/>
          <w:sz w:val="24"/>
          <w:szCs w:val="24"/>
          <w:lang w:eastAsia="en-GB"/>
        </w:rPr>
        <w:t>. Models were then evaluated for face validity and performance (discrimination and calibration), and those considered of value were then externally validated in other available datasets.</w:t>
      </w:r>
    </w:p>
    <w:p w14:paraId="14CF0AA0" w14:textId="77777777" w:rsidR="000D68BB" w:rsidRPr="000D68BB" w:rsidRDefault="000D68BB" w:rsidP="000D68BB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</w:p>
    <w:p w14:paraId="65D757C4" w14:textId="77777777" w:rsidR="000D68BB" w:rsidRPr="000D68BB" w:rsidRDefault="000D68BB" w:rsidP="000D68BB">
      <w:pPr>
        <w:keepNext/>
        <w:keepLines/>
        <w:spacing w:before="40" w:after="0" w:line="256" w:lineRule="auto"/>
        <w:outlineLvl w:val="2"/>
        <w:rPr>
          <w:rFonts w:ascii="Calibri Light" w:eastAsia="Times New Roman" w:hAnsi="Calibri Light" w:cs="Times New Roman"/>
          <w:color w:val="1F3763" w:themeColor="accent1" w:themeShade="7F"/>
          <w:sz w:val="24"/>
          <w:szCs w:val="24"/>
          <w:lang w:eastAsia="en-GB"/>
        </w:rPr>
      </w:pPr>
      <w:r w:rsidRPr="000D68BB">
        <w:rPr>
          <w:rFonts w:ascii="Calibri Light" w:eastAsia="Times New Roman" w:hAnsi="Calibri Light" w:cs="Times New Roman"/>
          <w:color w:val="1F3763" w:themeColor="accent1" w:themeShade="7F"/>
          <w:sz w:val="24"/>
          <w:szCs w:val="24"/>
          <w:lang w:eastAsia="en-GB"/>
        </w:rPr>
        <w:t>Findings</w:t>
      </w:r>
    </w:p>
    <w:p w14:paraId="1B87D4DF" w14:textId="1776A0B5" w:rsidR="000D68BB" w:rsidRPr="000D68BB" w:rsidRDefault="000D68BB" w:rsidP="000D68BB">
      <w:pPr>
        <w:spacing w:line="256" w:lineRule="auto"/>
        <w:rPr>
          <w:rFonts w:ascii="Calibri" w:eastAsia="Times New Roman" w:hAnsi="Calibri" w:cs="Times New Roman"/>
          <w:color w:val="000000"/>
          <w:lang w:eastAsia="en-GB"/>
        </w:rPr>
      </w:pPr>
      <w:r w:rsidRPr="000D68BB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A total of </w:t>
      </w:r>
      <w:r w:rsidRPr="000D68BB">
        <w:rPr>
          <w:rFonts w:ascii="Calibri" w:eastAsia="Times New Roman" w:hAnsi="Calibri" w:cs="Times New Roman"/>
          <w:color w:val="000000"/>
          <w:lang w:eastAsia="en-GB"/>
        </w:rPr>
        <w:t xml:space="preserve">503,923 </w:t>
      </w:r>
      <w:r w:rsidRPr="000D68BB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participants were included, with size per data source ranging from </w:t>
      </w:r>
      <w:proofErr w:type="gramStart"/>
      <w:r w:rsidRPr="000D68BB">
        <w:rPr>
          <w:rFonts w:ascii="Calibri" w:eastAsia="Times New Roman" w:hAnsi="Calibri" w:cs="Times New Roman"/>
          <w:color w:val="000000" w:themeColor="text1"/>
          <w:lang w:eastAsia="en-GB"/>
        </w:rPr>
        <w:t>158,549</w:t>
      </w:r>
      <w:r w:rsidRPr="000D68BB">
        <w:rPr>
          <w:rFonts w:ascii="Calibri" w:eastAsia="Times New Roman" w:hAnsi="Calibri" w:cs="Times New Roman"/>
          <w:color w:val="000000"/>
          <w:lang w:eastAsia="en-GB"/>
        </w:rPr>
        <w:t xml:space="preserve"> </w:t>
      </w:r>
      <w:r w:rsidRPr="000D68BB">
        <w:rPr>
          <w:rFonts w:ascii="Calibri" w:eastAsia="Times New Roman" w:hAnsi="Calibri" w:cs="Arial"/>
          <w:bCs/>
          <w:iCs/>
          <w:color w:val="000000"/>
          <w:sz w:val="24"/>
          <w:szCs w:val="24"/>
          <w:lang w:eastAsia="en-GB"/>
        </w:rPr>
        <w:t xml:space="preserve"> to</w:t>
      </w:r>
      <w:proofErr w:type="gramEnd"/>
      <w:r w:rsidRPr="000D68BB">
        <w:rPr>
          <w:rFonts w:ascii="Calibri" w:eastAsia="Times New Roman" w:hAnsi="Calibri" w:cs="Arial"/>
          <w:bCs/>
          <w:iCs/>
          <w:color w:val="000000"/>
          <w:sz w:val="24"/>
          <w:szCs w:val="24"/>
          <w:lang w:eastAsia="en-GB"/>
        </w:rPr>
        <w:t xml:space="preserve"> 15,292</w:t>
      </w:r>
      <w:r w:rsidRPr="000D68BB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. Overall, 90-day mortality, VTE, infection and readmission were seen in a range 0.20%-0.32%</w:t>
      </w:r>
      <w:r w:rsidRPr="000D68BB">
        <w:rPr>
          <w:rFonts w:ascii="Calibri" w:eastAsia="Times New Roman" w:hAnsi="Calibri" w:cs="Arial"/>
          <w:bCs/>
          <w:iCs/>
          <w:color w:val="000000"/>
          <w:sz w:val="24"/>
          <w:szCs w:val="24"/>
          <w:lang w:eastAsia="en-GB"/>
        </w:rPr>
        <w:t>, 1.7%-3.0%, 7.1%-9.0%, 2.2%-4.8%</w:t>
      </w:r>
      <w:r w:rsidRPr="000D68BB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 respectively. Five-year revision surgery was observed in </w:t>
      </w:r>
      <w:r w:rsidRPr="000D68BB">
        <w:rPr>
          <w:rFonts w:ascii="Calibri" w:eastAsia="Times New Roman" w:hAnsi="Calibri" w:cs="Arial"/>
          <w:bCs/>
          <w:iCs/>
          <w:color w:val="000000"/>
          <w:sz w:val="24"/>
          <w:szCs w:val="24"/>
          <w:lang w:eastAsia="en-GB"/>
        </w:rPr>
        <w:t>1.5%-3.1%</w:t>
      </w:r>
      <w:r w:rsidRPr="000D68BB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 of participants. None of the models for VTE or infection had good performance. </w:t>
      </w:r>
    </w:p>
    <w:p w14:paraId="44FE3FB6" w14:textId="77777777" w:rsidR="000D68BB" w:rsidRPr="000D68BB" w:rsidRDefault="000D68BB" w:rsidP="000D68BB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0D68BB">
        <w:rPr>
          <w:rFonts w:ascii="Calibri" w:eastAsia="Times New Roman" w:hAnsi="Calibri" w:cs="Times New Roman"/>
          <w:sz w:val="24"/>
          <w:szCs w:val="24"/>
          <w:lang w:eastAsia="en-GB"/>
        </w:rPr>
        <w:t xml:space="preserve">We trained models for 90-day mortality, VTE, infection, readmission, and 5-year revision.  Only 90-day mortality yielded AUROC &gt; 0.70, other outcomes were not predictive.  90-day mortality </w:t>
      </w:r>
      <w:r w:rsidRPr="000D68BB">
        <w:rPr>
          <w:rFonts w:ascii="Calibri" w:eastAsia="Times New Roman" w:hAnsi="Calibri" w:cs="Times New Roman"/>
          <w:sz w:val="24"/>
          <w:szCs w:val="24"/>
          <w:lang w:eastAsia="en-GB"/>
        </w:rPr>
        <w:lastRenderedPageBreak/>
        <w:t xml:space="preserve">had AUC of 0.78 and 0.68 in internal validation on Optum and THIN respectively, and the Optum model got </w:t>
      </w:r>
      <w:r w:rsidRPr="000D68BB">
        <w:rPr>
          <w:rFonts w:ascii="Calibri" w:eastAsia="Times New Roman" w:hAnsi="Calibri" w:cs="Times New Roman"/>
          <w:color w:val="000000"/>
          <w:sz w:val="24"/>
          <w:szCs w:val="24"/>
          <w:lang w:eastAsia="en-GB"/>
        </w:rPr>
        <w:t>0.69</w:t>
      </w:r>
      <w:r w:rsidRPr="000D68BB">
        <w:rPr>
          <w:rFonts w:ascii="Calibri" w:eastAsia="Times New Roman" w:hAnsi="Calibri" w:cs="Times New Roman"/>
          <w:sz w:val="24"/>
          <w:szCs w:val="24"/>
          <w:lang w:eastAsia="en-GB"/>
        </w:rPr>
        <w:t>, 0.86, 0.76, 0.72 AUC in external validation on THIN, Columbia, Stanford and MDCD.</w:t>
      </w:r>
    </w:p>
    <w:p w14:paraId="68DEF4A5" w14:textId="77777777" w:rsidR="000D68BB" w:rsidRPr="000D68BB" w:rsidRDefault="000D68BB" w:rsidP="000D68BB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</w:p>
    <w:p w14:paraId="4C5C3B60" w14:textId="77777777" w:rsidR="000D68BB" w:rsidRPr="000D68BB" w:rsidRDefault="000D68BB" w:rsidP="000D68BB">
      <w:pPr>
        <w:keepNext/>
        <w:keepLines/>
        <w:spacing w:before="40" w:after="0" w:line="256" w:lineRule="auto"/>
        <w:outlineLvl w:val="2"/>
        <w:rPr>
          <w:rFonts w:ascii="Calibri Light" w:eastAsia="Times New Roman" w:hAnsi="Calibri Light" w:cs="Times New Roman"/>
          <w:color w:val="1F3763" w:themeColor="accent1" w:themeShade="7F"/>
          <w:sz w:val="24"/>
          <w:szCs w:val="24"/>
          <w:lang w:eastAsia="en-GB"/>
        </w:rPr>
      </w:pPr>
      <w:r w:rsidRPr="000D68BB">
        <w:rPr>
          <w:rFonts w:ascii="Calibri Light" w:eastAsia="Times New Roman" w:hAnsi="Calibri Light" w:cs="Times New Roman"/>
          <w:color w:val="1F3763" w:themeColor="accent1" w:themeShade="7F"/>
          <w:sz w:val="24"/>
          <w:szCs w:val="24"/>
          <w:lang w:eastAsia="en-GB"/>
        </w:rPr>
        <w:t>Interpretation</w:t>
      </w:r>
    </w:p>
    <w:p w14:paraId="095EBF20" w14:textId="77777777" w:rsidR="000D68BB" w:rsidRPr="000D68BB" w:rsidRDefault="000D68BB" w:rsidP="000D68BB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0D68BB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We have developed and externally validated prediction tools for the identification of subjects at high risk of short-term mortality as well as developing models for readmission, venous thromboembolism and long-term revision. The primary finding of the research is high predictability of short-term mortality and the unpredictability of the other investigated outcomes. This suggests that decisions can be stratified based on variated risk of short-term mortality but that no such nuance can be applied to advice based on the concern of the other complications. </w:t>
      </w:r>
    </w:p>
    <w:p w14:paraId="04ED4C8F" w14:textId="77777777" w:rsidR="001F7F59" w:rsidRDefault="001F7F59"/>
    <w:sectPr w:rsidR="001F7F59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89EAFF" w14:textId="77777777" w:rsidR="00B40CC9" w:rsidRDefault="00B40CC9">
      <w:pPr>
        <w:spacing w:after="0" w:line="240" w:lineRule="auto"/>
      </w:pPr>
      <w:r>
        <w:separator/>
      </w:r>
    </w:p>
  </w:endnote>
  <w:endnote w:type="continuationSeparator" w:id="0">
    <w:p w14:paraId="7092EC78" w14:textId="77777777" w:rsidR="00B40CC9" w:rsidRDefault="00B40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5927F" w14:textId="77777777" w:rsidR="002B3C70" w:rsidRDefault="009A2DF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4F21FFAE" w14:textId="77777777" w:rsidR="002B3C70" w:rsidRDefault="00B40CC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8B2F68" w14:textId="77777777" w:rsidR="002B3C70" w:rsidRDefault="00B40CC9">
    <w:pPr>
      <w:pStyle w:val="Footer"/>
      <w:framePr w:wrap="around" w:vAnchor="text" w:hAnchor="margin" w:xAlign="right" w:y="1"/>
      <w:rPr>
        <w:rStyle w:val="PageNumber"/>
      </w:rPr>
    </w:pPr>
  </w:p>
  <w:p w14:paraId="7CA68CCF" w14:textId="77777777" w:rsidR="002B3C70" w:rsidRDefault="00B40CC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5A2240" w14:textId="77777777" w:rsidR="00B40CC9" w:rsidRDefault="00B40CC9">
      <w:pPr>
        <w:spacing w:after="0" w:line="240" w:lineRule="auto"/>
      </w:pPr>
      <w:r>
        <w:separator/>
      </w:r>
    </w:p>
  </w:footnote>
  <w:footnote w:type="continuationSeparator" w:id="0">
    <w:p w14:paraId="5C32C1AD" w14:textId="77777777" w:rsidR="00B40CC9" w:rsidRDefault="00B40C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8BB"/>
    <w:rsid w:val="000D68BB"/>
    <w:rsid w:val="001B3ADC"/>
    <w:rsid w:val="001F7F59"/>
    <w:rsid w:val="00213FC4"/>
    <w:rsid w:val="00630C44"/>
    <w:rsid w:val="006C0040"/>
    <w:rsid w:val="00861A80"/>
    <w:rsid w:val="00914447"/>
    <w:rsid w:val="00915DDD"/>
    <w:rsid w:val="009A210E"/>
    <w:rsid w:val="009A2DF8"/>
    <w:rsid w:val="00A2024A"/>
    <w:rsid w:val="00B40CC9"/>
    <w:rsid w:val="00EE7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9F9C4"/>
  <w15:chartTrackingRefBased/>
  <w15:docId w15:val="{A3DB8340-8AED-4698-9F8E-5CA9B328E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link w:val="Heading1Char"/>
    <w:uiPriority w:val="9"/>
    <w:qFormat/>
    <w:rsid w:val="000D68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0D68BB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68BB"/>
    <w:rPr>
      <w:rFonts w:ascii="Calibri" w:eastAsia="Calibri" w:hAnsi="Calibri" w:cs="Times New Roman"/>
      <w:sz w:val="20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0D68BB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68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8BB"/>
    <w:rPr>
      <w:rFonts w:ascii="Segoe UI" w:hAnsi="Segoe UI" w:cs="Segoe UI"/>
      <w:sz w:val="18"/>
      <w:szCs w:val="18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0D68BB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paragraph" w:styleId="Footer">
    <w:name w:val="footer"/>
    <w:basedOn w:val="Normal"/>
    <w:link w:val="FooterChar"/>
    <w:uiPriority w:val="99"/>
    <w:rsid w:val="001B3ADC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1B3ADC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1B3ADC"/>
    <w:rPr>
      <w:rFonts w:cs="Times New Roman"/>
    </w:rPr>
  </w:style>
  <w:style w:type="paragraph" w:customStyle="1" w:styleId="AMIATitle">
    <w:name w:val="AMIA Title"/>
    <w:basedOn w:val="Normal"/>
    <w:next w:val="Normal"/>
    <w:rsid w:val="001B3ADC"/>
    <w:pPr>
      <w:spacing w:after="28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en-US"/>
    </w:rPr>
  </w:style>
  <w:style w:type="table" w:styleId="TableGrid">
    <w:name w:val="Table Grid"/>
    <w:basedOn w:val="TableNormal"/>
    <w:rsid w:val="001B3A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1B3ADC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202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74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mailto:r.williams@erasmusmc.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B80C1B183416458B75F6F2175191FF" ma:contentTypeVersion="9" ma:contentTypeDescription="Create a new document." ma:contentTypeScope="" ma:versionID="8a7b354accb8850d2be1725c56cbc33b">
  <xsd:schema xmlns:xsd="http://www.w3.org/2001/XMLSchema" xmlns:xs="http://www.w3.org/2001/XMLSchema" xmlns:p="http://schemas.microsoft.com/office/2006/metadata/properties" xmlns:ns2="38119a12-47f5-4703-b9c6-0f86b8b48d57" xmlns:ns3="1a754040-da86-4a81-94df-869ad4f162da" targetNamespace="http://schemas.microsoft.com/office/2006/metadata/properties" ma:root="true" ma:fieldsID="1e6c13ca2e7d08840f1da7d6ae095cc1" ns2:_="" ns3:_="">
    <xsd:import namespace="38119a12-47f5-4703-b9c6-0f86b8b48d57"/>
    <xsd:import namespace="1a754040-da86-4a81-94df-869ad4f162d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119a12-47f5-4703-b9c6-0f86b8b48d5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754040-da86-4a81-94df-869ad4f162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67E358-5124-46F4-B55D-55CD7049890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797C5B3-5D5A-4240-8869-2F402DED0D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030611-A23C-4A8A-A29D-82740278C3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119a12-47f5-4703-b9c6-0f86b8b48d57"/>
    <ds:schemaRef ds:uri="1a754040-da86-4a81-94df-869ad4f162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Williams</dc:creator>
  <cp:keywords/>
  <dc:description/>
  <cp:lastModifiedBy>Sachson, Craig</cp:lastModifiedBy>
  <cp:revision>3</cp:revision>
  <dcterms:created xsi:type="dcterms:W3CDTF">2019-06-05T14:17:00Z</dcterms:created>
  <dcterms:modified xsi:type="dcterms:W3CDTF">2019-09-11T18:20:00Z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0x01010018B80C1B183416458B75F6F2175191FF</vt:lpwstr>
  </property>
</Properties>
</file>