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1682ED" w14:textId="77777777" w:rsidR="00EA6FB0" w:rsidRDefault="00EA6FB0" w:rsidP="00EA6FB0">
      <w:pPr>
        <w:pBdr>
          <w:top w:val="nil"/>
          <w:left w:val="nil"/>
          <w:bottom w:val="nil"/>
          <w:right w:val="nil"/>
          <w:between w:val="nil"/>
        </w:pBdr>
        <w:jc w:val="center"/>
        <w:rPr>
          <w:rFonts w:ascii="Calibri" w:eastAsia="Calibri" w:hAnsi="Calibri" w:cs="Calibri"/>
          <w:b/>
          <w:color w:val="000000"/>
          <w:sz w:val="28"/>
          <w:szCs w:val="28"/>
        </w:rPr>
      </w:pPr>
      <w:r w:rsidRPr="00EA6FB0">
        <w:rPr>
          <w:rFonts w:ascii="Calibri" w:eastAsia="Calibri" w:hAnsi="Calibri" w:cs="Calibri"/>
          <w:b/>
          <w:color w:val="000000"/>
          <w:sz w:val="28"/>
          <w:szCs w:val="28"/>
        </w:rPr>
        <w:t>Introducing OHDSI Analytics at VCU in the LTS OHDSI cloud: An Example Application of Empirical Calibration Using Synthetic EMR Data for Detecting Cancer Risk in Oral Bisphosphonate Users</w:t>
      </w:r>
    </w:p>
    <w:p w14:paraId="10A53743" w14:textId="04446655" w:rsidR="00EA6FB0" w:rsidRPr="00407233" w:rsidRDefault="00EA6FB0" w:rsidP="00EA6FB0">
      <w:pPr>
        <w:pBdr>
          <w:top w:val="nil"/>
          <w:left w:val="nil"/>
          <w:bottom w:val="nil"/>
          <w:right w:val="nil"/>
          <w:between w:val="nil"/>
        </w:pBdr>
        <w:jc w:val="center"/>
        <w:rPr>
          <w:rFonts w:ascii="Calibri" w:eastAsia="Calibri" w:hAnsi="Calibri" w:cs="Calibri"/>
          <w:b/>
          <w:color w:val="000000"/>
          <w:vertAlign w:val="superscript"/>
        </w:rPr>
      </w:pPr>
      <w:r>
        <w:rPr>
          <w:rFonts w:ascii="Calibri" w:eastAsia="Calibri" w:hAnsi="Calibri" w:cs="Calibri"/>
          <w:b/>
          <w:color w:val="000000"/>
        </w:rPr>
        <w:t>Martin A.D. Lavallee</w:t>
      </w:r>
      <w:r>
        <w:rPr>
          <w:rFonts w:ascii="Calibri" w:eastAsia="Calibri" w:hAnsi="Calibri" w:cs="Calibri"/>
          <w:b/>
          <w:color w:val="000000"/>
          <w:vertAlign w:val="superscript"/>
        </w:rPr>
        <w:t>1,2</w:t>
      </w:r>
      <w:r>
        <w:rPr>
          <w:rFonts w:ascii="Calibri" w:eastAsia="Calibri" w:hAnsi="Calibri" w:cs="Calibri"/>
          <w:b/>
          <w:color w:val="000000"/>
        </w:rPr>
        <w:t xml:space="preserve"> lavalleema@vcu.edu, Roy T. Sabo Ph.D.</w:t>
      </w:r>
      <w:r>
        <w:rPr>
          <w:rFonts w:ascii="Calibri" w:eastAsia="Calibri" w:hAnsi="Calibri" w:cs="Calibri"/>
          <w:b/>
          <w:color w:val="000000"/>
          <w:vertAlign w:val="superscript"/>
        </w:rPr>
        <w:t>1</w:t>
      </w:r>
      <w:r>
        <w:rPr>
          <w:rFonts w:ascii="Calibri" w:eastAsia="Calibri" w:hAnsi="Calibri" w:cs="Calibri"/>
          <w:b/>
          <w:color w:val="000000"/>
        </w:rPr>
        <w:t xml:space="preserve"> rsabo@vcu.edu, and Lee Evans</w:t>
      </w:r>
      <w:r>
        <w:rPr>
          <w:rFonts w:ascii="Calibri" w:eastAsia="Calibri" w:hAnsi="Calibri" w:cs="Calibri"/>
          <w:b/>
          <w:color w:val="000000"/>
          <w:vertAlign w:val="superscript"/>
        </w:rPr>
        <w:t>2</w:t>
      </w:r>
      <w:r>
        <w:rPr>
          <w:rFonts w:ascii="Calibri" w:eastAsia="Calibri" w:hAnsi="Calibri" w:cs="Calibri"/>
          <w:b/>
          <w:color w:val="000000"/>
        </w:rPr>
        <w:t xml:space="preserve"> levans@ltscomputingllc.com</w:t>
      </w:r>
    </w:p>
    <w:p w14:paraId="2D45B7D8" w14:textId="77777777" w:rsidR="00EA6FB0" w:rsidRDefault="00EA6FB0" w:rsidP="00EA6FB0">
      <w:pPr>
        <w:pBdr>
          <w:top w:val="nil"/>
          <w:left w:val="nil"/>
          <w:bottom w:val="nil"/>
          <w:right w:val="nil"/>
          <w:between w:val="nil"/>
        </w:pBdr>
        <w:spacing w:after="240"/>
        <w:jc w:val="center"/>
        <w:rPr>
          <w:rFonts w:ascii="Calibri" w:eastAsia="Calibri" w:hAnsi="Calibri" w:cs="Calibri"/>
          <w:b/>
          <w:color w:val="000000"/>
        </w:rPr>
      </w:pPr>
      <w:r>
        <w:rPr>
          <w:rFonts w:ascii="Calibri" w:eastAsia="Calibri" w:hAnsi="Calibri" w:cs="Calibri"/>
          <w:b/>
          <w:color w:val="000000"/>
          <w:vertAlign w:val="superscript"/>
        </w:rPr>
        <w:t>1</w:t>
      </w:r>
      <w:r w:rsidRPr="00F456BD">
        <w:rPr>
          <w:rFonts w:ascii="Calibri" w:eastAsia="Calibri" w:hAnsi="Calibri" w:cs="Calibri"/>
          <w:b/>
          <w:color w:val="000000"/>
        </w:rPr>
        <w:t xml:space="preserve"> </w:t>
      </w:r>
      <w:r>
        <w:rPr>
          <w:rFonts w:ascii="Calibri" w:eastAsia="Calibri" w:hAnsi="Calibri" w:cs="Calibri"/>
          <w:b/>
          <w:color w:val="000000"/>
        </w:rPr>
        <w:t xml:space="preserve">Department of Biostatistics, Virginia Commonwealth University, Richmond, VA; </w:t>
      </w:r>
      <w:r w:rsidRPr="00F456BD">
        <w:rPr>
          <w:rFonts w:ascii="Calibri" w:eastAsia="Calibri" w:hAnsi="Calibri" w:cs="Calibri"/>
          <w:b/>
          <w:color w:val="000000"/>
          <w:vertAlign w:val="superscript"/>
        </w:rPr>
        <w:t>2</w:t>
      </w:r>
      <w:r>
        <w:rPr>
          <w:rFonts w:ascii="Calibri" w:eastAsia="Calibri" w:hAnsi="Calibri" w:cs="Calibri"/>
          <w:b/>
          <w:color w:val="000000"/>
        </w:rPr>
        <w:t xml:space="preserve">LTS Computing LLC, West Chester, PA; </w:t>
      </w:r>
    </w:p>
    <w:p w14:paraId="66AA9D47" w14:textId="77777777" w:rsidR="00EA6FB0" w:rsidRDefault="00EA6FB0" w:rsidP="00EA6FB0">
      <w:pPr>
        <w:keepNext/>
        <w:pBdr>
          <w:top w:val="nil"/>
          <w:left w:val="nil"/>
          <w:bottom w:val="nil"/>
          <w:right w:val="nil"/>
          <w:between w:val="nil"/>
        </w:pBdr>
        <w:spacing w:after="120"/>
        <w:jc w:val="both"/>
        <w:rPr>
          <w:rFonts w:ascii="Calibri" w:eastAsia="Calibri" w:hAnsi="Calibri" w:cs="Calibri"/>
          <w:b/>
          <w:color w:val="000000"/>
        </w:rPr>
      </w:pPr>
      <w:r>
        <w:rPr>
          <w:rFonts w:ascii="Calibri" w:eastAsia="Calibri" w:hAnsi="Calibri" w:cs="Calibri"/>
          <w:b/>
          <w:color w:val="000000"/>
        </w:rPr>
        <w:t>Abstract</w:t>
      </w:r>
    </w:p>
    <w:p w14:paraId="3A609565" w14:textId="409F7E69" w:rsidR="00EA6FB0" w:rsidRPr="00F456BD" w:rsidRDefault="00EA6FB0" w:rsidP="00EA6FB0">
      <w:pPr>
        <w:pBdr>
          <w:top w:val="nil"/>
          <w:left w:val="nil"/>
          <w:bottom w:val="nil"/>
          <w:right w:val="nil"/>
          <w:between w:val="nil"/>
        </w:pBdr>
        <w:spacing w:after="120"/>
        <w:jc w:val="both"/>
        <w:rPr>
          <w:rFonts w:ascii="Calibri" w:eastAsia="Calibri" w:hAnsi="Calibri" w:cs="Calibri"/>
          <w:i/>
          <w:color w:val="000000"/>
        </w:rPr>
      </w:pPr>
      <w:r>
        <w:rPr>
          <w:rFonts w:ascii="Calibri" w:eastAsia="Calibri" w:hAnsi="Calibri" w:cs="Calibri"/>
          <w:i/>
          <w:color w:val="000000"/>
        </w:rPr>
        <w:t xml:space="preserve">An </w:t>
      </w:r>
      <w:r>
        <w:rPr>
          <w:rFonts w:ascii="Calibri" w:eastAsia="Calibri" w:hAnsi="Calibri" w:cs="Calibri"/>
          <w:i/>
          <w:color w:val="000000"/>
        </w:rPr>
        <w:t xml:space="preserve">example </w:t>
      </w:r>
      <w:r>
        <w:rPr>
          <w:rFonts w:ascii="Calibri" w:eastAsia="Calibri" w:hAnsi="Calibri" w:cs="Calibri"/>
          <w:i/>
          <w:color w:val="000000"/>
        </w:rPr>
        <w:t xml:space="preserve">application of empirical calibration of p-values intervals for observational studies and evaluating the performance of multiple pharmacoepidemiological designs, this project serves as an introduction to the OMOP common data model and open-source OHDSI tools at VCU, first time users of this process of detecting treatment effects in an observational setting. The </w:t>
      </w:r>
      <w:r>
        <w:rPr>
          <w:rFonts w:ascii="Calibri" w:eastAsia="Calibri" w:hAnsi="Calibri" w:cs="Calibri"/>
          <w:i/>
          <w:color w:val="000000"/>
        </w:rPr>
        <w:t xml:space="preserve">example </w:t>
      </w:r>
      <w:r>
        <w:rPr>
          <w:rFonts w:ascii="Calibri" w:eastAsia="Calibri" w:hAnsi="Calibri" w:cs="Calibri"/>
          <w:i/>
          <w:color w:val="000000"/>
        </w:rPr>
        <w:t xml:space="preserve">study will consider the risk of cancer (colorectal, esophageal and breast) for users of oral bisphosphonates in an emulated population of Richmond, Virginia generated from Synthea, a software for generating synthetic EHR data. Concurrently, it is of interest to test the plausibility of using a synthetic generator to test and develop statistical methods in observational research. </w:t>
      </w:r>
      <w:r>
        <w:rPr>
          <w:rFonts w:ascii="Calibri" w:eastAsia="Calibri" w:hAnsi="Calibri" w:cs="Calibri"/>
          <w:i/>
          <w:color w:val="000000"/>
        </w:rPr>
        <w:t>Our g</w:t>
      </w:r>
      <w:r w:rsidRPr="00EA6FB0">
        <w:rPr>
          <w:rFonts w:ascii="Calibri" w:eastAsia="Calibri" w:hAnsi="Calibri" w:cs="Calibri"/>
          <w:i/>
          <w:color w:val="000000"/>
        </w:rPr>
        <w:t xml:space="preserve">oal was to </w:t>
      </w:r>
      <w:r>
        <w:rPr>
          <w:rFonts w:ascii="Calibri" w:eastAsia="Calibri" w:hAnsi="Calibri" w:cs="Calibri"/>
          <w:i/>
          <w:color w:val="000000"/>
        </w:rPr>
        <w:t>design a</w:t>
      </w:r>
      <w:r w:rsidRPr="00EA6FB0">
        <w:rPr>
          <w:rFonts w:ascii="Calibri" w:eastAsia="Calibri" w:hAnsi="Calibri" w:cs="Calibri"/>
          <w:i/>
          <w:color w:val="000000"/>
        </w:rPr>
        <w:t xml:space="preserve"> learning platform process </w:t>
      </w:r>
      <w:r>
        <w:rPr>
          <w:rFonts w:ascii="Calibri" w:eastAsia="Calibri" w:hAnsi="Calibri" w:cs="Calibri"/>
          <w:i/>
          <w:color w:val="000000"/>
        </w:rPr>
        <w:t>to demonstrate to</w:t>
      </w:r>
      <w:r w:rsidRPr="00EA6FB0">
        <w:rPr>
          <w:rFonts w:ascii="Calibri" w:eastAsia="Calibri" w:hAnsi="Calibri" w:cs="Calibri"/>
          <w:i/>
          <w:color w:val="000000"/>
        </w:rPr>
        <w:t xml:space="preserve"> VCU before the end of the year</w:t>
      </w:r>
      <w:r>
        <w:rPr>
          <w:rFonts w:ascii="Calibri" w:eastAsia="Calibri" w:hAnsi="Calibri" w:cs="Calibri"/>
          <w:i/>
          <w:color w:val="000000"/>
        </w:rPr>
        <w:t>.</w:t>
      </w:r>
    </w:p>
    <w:p w14:paraId="26500D0C" w14:textId="77777777" w:rsidR="00EA6FB0" w:rsidRDefault="00EA6FB0" w:rsidP="00EA6FB0">
      <w:pPr>
        <w:keepNext/>
        <w:pBdr>
          <w:top w:val="nil"/>
          <w:left w:val="nil"/>
          <w:bottom w:val="nil"/>
          <w:right w:val="nil"/>
          <w:between w:val="nil"/>
        </w:pBdr>
        <w:spacing w:before="120" w:after="120"/>
        <w:jc w:val="both"/>
        <w:rPr>
          <w:rFonts w:ascii="Calibri" w:eastAsia="Calibri" w:hAnsi="Calibri" w:cs="Calibri"/>
          <w:b/>
          <w:color w:val="000000"/>
        </w:rPr>
      </w:pPr>
      <w:r>
        <w:rPr>
          <w:rFonts w:ascii="Calibri" w:eastAsia="Calibri" w:hAnsi="Calibri" w:cs="Calibri"/>
          <w:b/>
          <w:color w:val="000000"/>
        </w:rPr>
        <w:t>Introduction</w:t>
      </w:r>
    </w:p>
    <w:p w14:paraId="68115887" w14:textId="77777777" w:rsidR="00EA6FB0" w:rsidRDefault="00EA6FB0" w:rsidP="00EA6FB0">
      <w:r>
        <w:t xml:space="preserve">Increased popularity in analyzing electronic medical records has increased the role of observational studies in aiding medical decision-making and understanding treatment effects, particularly in terms of drug safety. However, observational studies are hindered by intrinsic systematic bias making it unclear whether an observed treatment effect is a true positive or a spurious result. Additionally, many observational studies of the same clinical question, using the same data, generate conflicting evidence. The process of conducting observational studies using empirical calibration of p-values and confidence intervals </w:t>
      </w:r>
      <w:r>
        <w:fldChar w:fldCharType="begin" w:fldLock="1"/>
      </w:r>
      <w:r>
        <w:instrText>ADDIN CSL_CITATION {"citationItems":[{"id":"ITEM-1","itemData":{"DOI":"10.1002/sim.5925","ISSN":"0277-6715","abstract":"Often the literature makes assertions of medical product effects on the basis of ? p?&lt;?0.05?. The underlying premise is that at this threshold, there is only a 5% probability that the observed effect would be seen by chance when in reality there is no effect. In observational studies, much more than in randomized trials, bias and confounding may undermine this premise. To test this premise, we selected three exemplar drug safety studies from literature, representing a case?control, a cohort, and a self-controlled case series design. We attempted to replicate these studies as best we could for the drugs studied in the original articles. Next, we applied the same three designs to sets of negative controls: drugs that are not believed to cause the outcome of interest. We observed how often p?&lt;?0.05 when the null hypothesis is true, and we fitted distributions to the effect estimates. Using these distributions, we compute calibrated p-values that reflect the probability of observing the effect estimate under the null hypothesis, taking both random and systematic error into account. An automated analysis of scientific literature was performed to evaluate the potential impact of such a calibration. Our experiment provides evidence that the majority of observational studies would declare statistical significance when no effect is present. Empirical calibration was found to reduce spurious results to the desired 5% level. Applying these adjustments to literature suggests that at least 54% of findings with p?&lt;?0.05 are not actually statistically significant and should be reevaluated. ? 2013 The Authors. Statistics in Medicine published by John Wiley &amp; Sons Ltd.","author":[{"dropping-particle":"","family":"Schuemie","given":"Martijn J","non-dropping-particle":"","parse-names":false,"suffix":""},{"dropping-particle":"","family":"Ryan","given":"Patrick B","non-dropping-particle":"","parse-names":false,"suffix":""},{"dropping-particle":"","family":"DuMouchel","given":"William","non-dropping-particle":"","parse-names":false,"suffix":""},{"dropping-particle":"","family":"Suchard","given":"Marc A","non-dropping-particle":"","parse-names":false,"suffix":""},{"dropping-particle":"","family":"Madigan","given":"David","non-dropping-particle":"","parse-names":false,"suffix":""}],"container-title":"Statistics in Medicine","id":"ITEM-1","issue":"2","issued":{"date-parts":[["2014","1","30"]]},"note":"doi: 10.1002/sim.5925","page":"209-218","publisher":"John Wiley &amp; Sons, Ltd","title":"Interpreting observational studies: why empirical calibration is needed to correct p-values","type":"article-journal","volume":"33"},"uris":["http://www.mendeley.com/documents/?uuid=591776dd-6c67-482e-b56b-c5cbe85bbc22"]},{"id":"ITEM-2","itemData":{"DOI":"10.1073/pnas.1708282114","abstract":"Observational healthcare data, such as electronic health records and administrative claims, offer potential to estimate effects of medical products at scale. Observational studies have often been found to be nonreproducible, however, generating conflicting results even when using the same database to answer the same question. One source of discrepancies is error, both random caused by sampling variability and systematic (for example, because of confounding, selection bias, and measurement error). Only random error is typically quantified but converges to zero as databases become larger, whereas systematic error persists independent from sample size and therefore, increases in relative importance. Negative controls are exposure–outcome pairs, where one believes no causal effect exists; they can be used to detect multiple sources of systematic error, but interpreting their results is not always straightforward. Previously, we have shown that an empirical null distribution can be derived from a sample of negative controls and used to calibrate P values, accounting for both random and systematic error. Here, we extend this work to calibration of confidence intervals (CIs). CIs require positive controls, which we synthesize by modifying negative controls. We show that our CI calibration restores nominal characteristics, such as 95% coverage of the true effect size by the 95% CI. We furthermore show that CI calibration reduces disagreement in replications of two pairs of conflicting observational studies: one related to dabigatran, warfarin, and gastrointestinal bleeding and one related to selective serotonin reuptake inhibitors and upper gastrointestinal bleeding. We recommend CI calibration to improve reproducibility of observational studies.","author":[{"dropping-particle":"","family":"Schuemie","given":"Martijn J","non-dropping-particle":"","parse-names":false,"suffix":""},{"dropping-particle":"","family":"Hripcsak","given":"George","non-dropping-particle":"","parse-names":false,"suffix":""},{"dropping-particle":"","family":"Ryan","given":"Patrick B","non-dropping-particle":"","parse-names":false,"suffix":""},{"dropping-particle":"","family":"Madigan","given":"David","non-dropping-particle":"","parse-names":false,"suffix":""},{"dropping-particle":"","family":"Suchard","given":"Marc A","non-dropping-particle":"","parse-names":false,"suffix":""}],"container-title":"Proceedings of the National Academy of Sciences","id":"ITEM-2","issue":"11","issued":{"date-parts":[["2018","3","13"]]},"page":"2571 LP  - 2577","title":"Empirical confidence interval calibration for population-level effect estimation studies in observational healthcare data","type":"article-journal","volume":"115"},"uris":["http://www.mendeley.com/documents/?uuid=4ff80a70-260c-42a6-8df7-ced50ee39f6e"]}],"mendeley":{"formattedCitation":"(Schuemie et al. 2014, 2018)","plainTextFormattedCitation":"(Schuemie et al. 2014, 2018)","previouslyFormattedCitation":"(Schuemie et al. 2014, 2018)"},"properties":{"noteIndex":0},"schema":"https://github.com/citation-style-language/schema/raw/master/csl-citation.json"}</w:instrText>
      </w:r>
      <w:r>
        <w:fldChar w:fldCharType="separate"/>
      </w:r>
      <w:r w:rsidRPr="004232CD">
        <w:rPr>
          <w:noProof/>
        </w:rPr>
        <w:t>(Schuemie et al. 2014, 2018)</w:t>
      </w:r>
      <w:r>
        <w:fldChar w:fldCharType="end"/>
      </w:r>
      <w:r>
        <w:t xml:space="preserve"> and comparing performance of multiple methods in identifying treatment risks </w:t>
      </w:r>
      <w:r>
        <w:fldChar w:fldCharType="begin" w:fldLock="1"/>
      </w:r>
      <w:r>
        <w:instrText>ADDIN CSL_CITATION {"citationItems":[{"id":"ITEM-1","itemData":{"DOI":"10.1007/s40264-013-0108-9","ISSN":"1179-1942","abstract":"Observational healthcare data offer the potential to enable identification of risks of medical products, and the medical literature is replete with analyses that aim to accomplish this objective. A number of established analytic methods dominate the literature but their operating characteristics in real-world settings remain unknown.","author":[{"dropping-particle":"","family":"Ryan","given":"Patrick B","non-dropping-particle":"","parse-names":false,"suffix":""},{"dropping-particle":"","family":"Stang","given":"Paul E","non-dropping-particle":"","parse-names":false,"suffix":""},{"dropping-particle":"","family":"Overhage","given":"J Marc","non-dropping-particle":"","parse-names":false,"suffix":""},{"dropping-particle":"","family":"Suchard","given":"Marc A","non-dropping-particle":"","parse-names":false,"suffix":""},{"dropping-particle":"","family":"Hartzema","given":"Abraham G","non-dropping-particle":"","parse-names":false,"suffix":""},{"dropping-particle":"","family":"DuMouchel","given":"William","non-dropping-particle":"","parse-names":false,"suffix":""},{"dropping-particle":"","family":"Reich","given":"Christian G","non-dropping-particle":"","parse-names":false,"suffix":""},{"dropping-particle":"","family":"Schuemie","given":"Martijn J","non-dropping-particle":"","parse-names":false,"suffix":""},{"dropping-particle":"","family":"Madigan","given":"David","non-dropping-particle":"","parse-names":false,"suffix":""}],"container-title":"Drug Safety","id":"ITEM-1","issue":"1","issued":{"date-parts":[["2013"]]},"page":"143-158","title":"A Comparison of the Empirical Performance of Methods for a Risk Identification System","type":"article-journal","volume":"36"},"uris":["http://www.mendeley.com/documents/?uuid=269deca8-8142-4a08-9332-6d4ea2419672"]}],"mendeley":{"formattedCitation":"(Ryan et al. 2013)","plainTextFormattedCitation":"(Ryan et al. 2013)","previouslyFormattedCitation":"(Ryan et al. 2013)"},"properties":{"noteIndex":0},"schema":"https://github.com/citation-style-language/schema/raw/master/csl-citation.json"}</w:instrText>
      </w:r>
      <w:r>
        <w:fldChar w:fldCharType="separate"/>
      </w:r>
      <w:r w:rsidRPr="004232CD">
        <w:rPr>
          <w:noProof/>
        </w:rPr>
        <w:t>(Ryan et al. 2013)</w:t>
      </w:r>
      <w:r>
        <w:fldChar w:fldCharType="end"/>
      </w:r>
      <w:r>
        <w:t xml:space="preserve"> provides an avenue for more appropriate inferential claims. Acknowledging for intrinsic bias of observational studies, the p-value calibration method derives an empirical null distribution using negative controls with known “no association.” Following this calibration, the researcher is assessing the risk ratio in a revised null space that accounts for systematic bias. Similarly, in terms of confidence intervals, effect estimates are calibrated using positive controls, pairings with “known association” to find coverage of the “true” effect estimate. </w:t>
      </w:r>
    </w:p>
    <w:p w14:paraId="7C7E24B5" w14:textId="31D5E583" w:rsidR="00EA6FB0" w:rsidRDefault="00EA6FB0" w:rsidP="00EA6FB0">
      <w:r>
        <w:t xml:space="preserve">In our study we plan to use the case-control and self-controlled case series designs to evaluate the risk of cancers (i.e. colorectal, esophageal and breast) on users of oral bisphosphonates. Two previous studies on cancer risk in oral bisphosphonates were conducted on the UK CPRD dataset, one using a new-user cohort and the other using a case-control design </w:t>
      </w:r>
      <w:r>
        <w:fldChar w:fldCharType="begin" w:fldLock="1"/>
      </w:r>
      <w:r>
        <w:instrText>ADDIN CSL_CITATION {"citationItems":[{"id":"ITEM-1","itemData":{"DOI":"10.1136/bmj.c4444","ISSN":"1756-1833","abstract":"OBJECTIVE: To examine the hypothesis that risk of oesophageal, but not of gastric or colorectal, cancer is increased in users of oral bisphosphonates. DESIGN: Nested case-control analysis within a primary care cohort of about 6 million people in the UK, with prospectively recorded information on prescribing of bisphosphonates. SETTING: UK General Practice Research Database cohort. PARTICIPANTS: Men and women aged 40 years or over-2954 with oesophageal cancer, 2018 with gastric cancer, and 10 641 with colorectal cancer, diagnosed in 1995-2005; five controls per case matched for age, sex, general practice, and observation time. MAIN OUTCOME MEASURES: Relative risks for incident invasive cancers of the oesophagus, stomach, and colorectum, adjusted for smoking, alcohol, and body mass index. RESULTS: The incidence of oesophageal cancer was increased in people with one or more previous prescriptions for oral bisphosphonates compared with those with no such prescriptions (relative risk 1.30, 95% confidence interval 1.02 to1.66; P=0.02). Risk of oesophageal cancer was significantly higher for 10 or more prescriptions (1.93, 1.37 to 2.70) than for one to nine prescriptions (0.93, 0.66 to 1.31) (P for heterogeneity=0.002), and for use for over 3 years (on average, about 5 years: relative risk v no prescription, 2.24, 1.47 to 3.43). Risk of oesophageal cancer did not differ significantly by bisphosphonate type, and risk in those with 10 or more bisphosphonate prescriptions did not vary by age, sex, smoking, alcohol intake, or body mass index; by diagnosis of osteoporosis, fracture, or upper gastrointestinal disease; or by prescription of acid suppressants, non-steroidal anti-inflammatory drugs, or corticosteroids. Cancers of the stomach and colorectum were not associated with prescription of bisphosphonate: relative risks for one or more versus no prescriptions were 0.87 (0.64 to 1.19) and 0.87 (0.77 to 1.00). The specificity of the association for oesophageal cancer argues against methodological problems in the selection of cases and controls or in the analysis. CONCLUSIONS: The risk of oesophageal cancer increased with 10 or more prescriptions for oral bisphosphonates and with prescriptions over about a five year period. In Europe and North America, the incidence of oesophageal cancer at age 60-79 is typically 1 per 1000 population over five years, and this is estimated to increase to about 2 per 1000 with five years' use of oral bisphosphonates.","author":[{"dropping-particle":"","family":"Green","given":"Jane","non-dropping-particle":"","parse-names":false,"suffix":""},{"dropping-particle":"","family":"Czanner","given":"Gabriela","non-dropping-particle":"","parse-names":false,"suffix":""},{"dropping-particle":"","family":"Reeves","given":"Gillian","non-dropping-particle":"","parse-names":false,"suffix":""},{"dropping-particle":"","family":"Watson","given":"Joanna","non-dropping-particle":"","parse-names":false,"suffix":""},{"dropping-particle":"","family":"Wise","given":"Lesley","non-dropping-particle":"","parse-names":false,"suffix":""},{"dropping-particle":"","family":"Beral","given":"Valerie","non-dropping-particle":"","parse-names":false,"suffix":""}],"container-title":"BMJ (Clinical research ed.)","id":"ITEM-1","issued":{"date-parts":[["2010","9","1"]]},"language":"eng","page":"c4444-c4444","publisher":"BMJ Publishing Group Ltd.","title":"Oral bisphosphonates and risk of cancer of oesophagus, stomach, and colorectum: case-control analysis within a UK primary care cohort","type":"article-journal","volume":"341"},"uris":["http://www.mendeley.com/documents/?uuid=f476e89e-d379-488f-a09a-92541bd0d126"]},{"id":"ITEM-2","itemData":{"DOI":"10.1001/jama.2010.1098","ISSN":"1538-3598","abstract":"CONTEXT: Use of oral bisphosphonates has increased dramatically in the United States and elsewhere. Esophagitis is a known adverse effect of bisphosphonate use, and recent reports suggest a link between bisphosphonate use and esophageal cancer, but this has not been robustly investigated. OBJECTIVE: To investigate the association between bisphosphonate use and esophageal cancer. DESIGN, SETTING, AND PARTICIPANTS: Data were extracted from the UK General Practice Research Database to compare the incidence of esophageal and gastric cancer in a cohort of patients treated with oral bisphosphonates between January 1996 and December 2006 with incidence in a control cohort. Cancers were identified from relevant Read/Oxford Medical Information System codes in the patient's clinical files. Cox proportional hazards modeling was used to calculate hazard ratios and 95% confidence intervals for risk of esophageal and gastric cancer in bisphosphonate users compared with nonusers, with adjustment for potential confounders. MAIN OUTCOME MEASURE: Hazard ratio for the risk of esophageal and gastric cancer in the bisphosphonate users compared with the bisphosphonate nonusers. RESULTS: Mean follow-up time was 4.5 and 4.4 years in the bisphosphonate and control cohorts, respectively. Excluding patients with less than 6 months' follow-up, there were 41 826 members in each cohort (81% women; mean age, 70.0 (SD, 11.4) years). One hundred sixteen esophageal or gastric cancers (79 esophageal) occurred in the bisphosphonate cohort and 115 (72 esophageal) in the control cohort. The incidence of esophageal and gastric cancer combined was 0.7 per 1000 person-years of risk in both the bisphosphonate and control cohorts; the incidence of esophageal cancer alone in the bisphosphonate and control cohorts was 0.48 and 0.44 per 1000 person-years of risk, respectively. There was no difference in risk of esophageal and gastric cancer combined between the cohorts for any bisphosphonate use (adjusted hazard ratio, 0.96 [95% confidence interval, 0.74-1.25]) or risk of esophageal cancer only (adjusted hazard ratio, 1.07 [95% confidence interval, 0.77-1.49]). There also was no difference in risk of esophageal or gastric cancer by duration of bisphosphonate intake. CONCLUSION: Among patients in the UK General Practice Research Database, the use of oral bisphosphonates was not significantly associated with incident esophageal or gastric cancer.","author":[{"dropping-particle":"","family":"Cardwell","given":"Chris R","non-dropping-particle":"","parse-names":false,"suffix":""},{"dropping-particle":"","family":"Abnet","given":"Christian C","non-dropping-particle":"","parse-names":false,"suffix":""},{"dropping-particle":"","family":"Cantwell","given":"Marie M","non-dropping-particle":"","parse-names":false,"suffix":""},{"dropping-particle":"","family":"Murray","given":"Liam J","non-dropping-particle":"","parse-names":false,"suffix":""}],"container-title":"JAMA","id":"ITEM-2","issue":"6","issued":{"date-parts":[["2010","8","11"]]},"language":"eng","page":"657-663","title":"Exposure to oral bisphosphonates and risk of esophageal cancer","type":"article-journal","volume":"304"},"uris":["http://www.mendeley.com/documents/?uuid=98c38011-f231-40a3-959a-f2e0520bf285"]}],"mendeley":{"formattedCitation":"(Green et al. 2010; Cardwell et al. 2010)","plainTextFormattedCitation":"(Green et al. 2010; Cardwell et al. 2010)","previouslyFormattedCitation":"(Green et al. 2010; Cardwell et al. 2010)"},"properties":{"noteIndex":0},"schema":"https://github.com/citation-style-language/schema/raw/master/csl-citation.json"}</w:instrText>
      </w:r>
      <w:r>
        <w:fldChar w:fldCharType="separate"/>
      </w:r>
      <w:r w:rsidRPr="004232CD">
        <w:rPr>
          <w:noProof/>
        </w:rPr>
        <w:t>(Green et al. 2010; Cardwell et al. 2010)</w:t>
      </w:r>
      <w:r>
        <w:fldChar w:fldCharType="end"/>
      </w:r>
      <w:r>
        <w:t xml:space="preserve">. These studies had conflicting results, which begs the question, which observational study should be believed? While this is an older study to replicate, our purpose in this study is to introduce the OHDSI process of conducting analytics on electronic medical records to new researchers at VCU, by providing an application of empirical calibration. </w:t>
      </w:r>
    </w:p>
    <w:p w14:paraId="0E5322A7" w14:textId="77777777" w:rsidR="00EA6FB0" w:rsidRPr="005266E0" w:rsidRDefault="00EA6FB0" w:rsidP="00EA6FB0">
      <w:pPr>
        <w:rPr>
          <w:rFonts w:ascii="Calibri" w:eastAsia="Calibri" w:hAnsi="Calibri" w:cs="Calibri"/>
          <w:bCs/>
          <w:color w:val="FF0000"/>
        </w:rPr>
      </w:pPr>
      <w:r>
        <w:rPr>
          <w:rFonts w:ascii="Calibri" w:eastAsia="Calibri" w:hAnsi="Calibri" w:cs="Calibri"/>
          <w:bCs/>
          <w:color w:val="000000"/>
        </w:rPr>
        <w:lastRenderedPageBreak/>
        <w:t xml:space="preserve">Access to EHR data is difficult, considering cost, ownership and privacy concerns. This causes a “barrier of entry” issue for new-users and researchers who wish to test and understand using the OMOP CDM and OHDSI tools. Synthea is an open-source tool that generates synthetic EHR by probabilistically assigning disease frequencies and outcomes based on supplied epidemiological information </w:t>
      </w:r>
      <w:r>
        <w:rPr>
          <w:rFonts w:ascii="Calibri" w:eastAsia="Calibri" w:hAnsi="Calibri" w:cs="Calibri"/>
          <w:bCs/>
          <w:color w:val="000000"/>
        </w:rPr>
        <w:fldChar w:fldCharType="begin" w:fldLock="1"/>
      </w:r>
      <w:r>
        <w:rPr>
          <w:rFonts w:ascii="Calibri" w:eastAsia="Calibri" w:hAnsi="Calibri" w:cs="Calibri"/>
          <w:bCs/>
          <w:color w:val="000000"/>
        </w:rPr>
        <w:instrText>ADDIN CSL_CITATION {"citationItems":[{"id":"ITEM-1","itemData":{"DOI":"10.1093/jamia/ocx079","ISSN":"1527-974X","abstract":"Our objective is to create a source of synthetic electronic health records that is readily available; suited to industrial, innovation, research, and educational uses; and free of legal, privacy, security, and intellectual property restrictions.We developed Synthea, an open-source software package that simulates the lifespans of synthetic patients, modeling the 10 most frequent reasons for primary care encounters and the 10 chronic conditions with the highest morbidity in the United States.Synthea adheres to a previously developed conceptual framework, scales via open-source deployment on the Internet, and may be extended with additional disease and treatment modules developed by its user community. One million synthetic patient records are now freely available online, encoded in standard formats (eg, Health Level-7 [HL7] Fast Healthcare Interoperability Resources [FHIR] and Consolidated-Clinical Document Architecture), and accessible through an HL7 FHIR application program interface.Health care lags other industries in information technology, data exchange, and interoperability. The lack of freely distributable health records has long hindered innovation in health care. Approaches and tools are available to inexpensively generate synthetic health records at scale without accidental disclosure risk, lowering current barriers to entry for promising early-stage developments. By engaging a growing community of users, the synthetic data generated will become increasingly comprehensive, detailed, and realistic over time.Synthetic patients can be simulated with models of disease progression and corresponding standards of care to produce risk-free realistic synthetic health care records at scale.","author":[{"dropping-particle":"","family":"Walonoski","given":"Jason","non-dropping-particle":"","parse-names":false,"suffix":""},{"dropping-particle":"","family":"Kramer","given":"Mark","non-dropping-particle":"","parse-names":false,"suffix":""},{"dropping-particle":"","family":"Nichols","given":"Joseph","non-dropping-particle":"","parse-names":false,"suffix":""},{"dropping-particle":"","family":"Quina","given":"Andre","non-dropping-particle":"","parse-names":false,"suffix":""},{"dropping-particle":"","family":"Moesel","given":"Chris","non-dropping-particle":"","parse-names":false,"suffix":""},{"dropping-particle":"","family":"Hall","given":"Dylan","non-dropping-particle":"","parse-names":false,"suffix":""},{"dropping-particle":"","family":"Duffett","given":"Carlton","non-dropping-particle":"","parse-names":false,"suffix":""},{"dropping-particle":"","family":"Dube","given":"Kudakwashe","non-dropping-particle":"","parse-names":false,"suffix":""},{"dropping-particle":"","family":"Gallagher","given":"Thomas","non-dropping-particle":"","parse-names":false,"suffix":""},{"dropping-particle":"","family":"McLachlan","given":"Scott","non-dropping-particle":"","parse-names":false,"suffix":""}],"container-title":"Journal of the American Medical Informatics Association","id":"ITEM-1","issue":"3","issued":{"date-parts":[["2017","8","30"]]},"page":"230-238","title":"Synthea: An approach, method, and software mechanism for generating synthetic patients and the synthetic electronic health care record","type":"article-journal","volume":"25"},"uris":["http://www.mendeley.com/documents/?uuid=c4acb8f1-a685-46a7-9faa-b712381c1193"]}],"mendeley":{"formattedCitation":"(Walonoski et al. 2017)","plainTextFormattedCitation":"(Walonoski et al. 2017)"},"properties":{"noteIndex":0},"schema":"https://github.com/citation-style-language/schema/raw/master/csl-citation.json"}</w:instrText>
      </w:r>
      <w:r>
        <w:rPr>
          <w:rFonts w:ascii="Calibri" w:eastAsia="Calibri" w:hAnsi="Calibri" w:cs="Calibri"/>
          <w:bCs/>
          <w:color w:val="000000"/>
        </w:rPr>
        <w:fldChar w:fldCharType="separate"/>
      </w:r>
      <w:r w:rsidRPr="00516781">
        <w:rPr>
          <w:rFonts w:ascii="Calibri" w:eastAsia="Calibri" w:hAnsi="Calibri" w:cs="Calibri"/>
          <w:bCs/>
          <w:noProof/>
          <w:color w:val="000000"/>
        </w:rPr>
        <w:t>(Walonoski et al. 2017)</w:t>
      </w:r>
      <w:r>
        <w:rPr>
          <w:rFonts w:ascii="Calibri" w:eastAsia="Calibri" w:hAnsi="Calibri" w:cs="Calibri"/>
          <w:bCs/>
          <w:color w:val="000000"/>
        </w:rPr>
        <w:fldChar w:fldCharType="end"/>
      </w:r>
      <w:r>
        <w:rPr>
          <w:rFonts w:ascii="Calibri" w:eastAsia="Calibri" w:hAnsi="Calibri" w:cs="Calibri"/>
          <w:bCs/>
          <w:color w:val="000000"/>
        </w:rPr>
        <w:t xml:space="preserve">. The final goal of this project is to determine if using an emulated medical population of Richmond, Virginia, using Synthea, provides a </w:t>
      </w:r>
      <w:proofErr w:type="gramStart"/>
      <w:r>
        <w:rPr>
          <w:rFonts w:ascii="Calibri" w:eastAsia="Calibri" w:hAnsi="Calibri" w:cs="Calibri"/>
          <w:bCs/>
          <w:color w:val="000000"/>
        </w:rPr>
        <w:t>sufficient</w:t>
      </w:r>
      <w:proofErr w:type="gramEnd"/>
      <w:r>
        <w:rPr>
          <w:rFonts w:ascii="Calibri" w:eastAsia="Calibri" w:hAnsi="Calibri" w:cs="Calibri"/>
          <w:bCs/>
          <w:color w:val="000000"/>
        </w:rPr>
        <w:t xml:space="preserve"> “proving ground” to test and develop statistical methods for observational research. </w:t>
      </w:r>
      <w:r>
        <w:t xml:space="preserve">The project will serve as a starting point for applying statistical methods for improving observational research generation and to garner ideas for development of novel research methods in future projects. </w:t>
      </w:r>
    </w:p>
    <w:p w14:paraId="26650D8D" w14:textId="77777777" w:rsidR="00EA6FB0" w:rsidRDefault="00EA6FB0" w:rsidP="00EA6FB0">
      <w:pPr>
        <w:keepNext/>
        <w:pBdr>
          <w:top w:val="nil"/>
          <w:left w:val="nil"/>
          <w:bottom w:val="nil"/>
          <w:right w:val="nil"/>
          <w:between w:val="nil"/>
        </w:pBdr>
        <w:spacing w:before="120" w:after="120"/>
        <w:jc w:val="both"/>
        <w:rPr>
          <w:rFonts w:ascii="Calibri" w:eastAsia="Calibri" w:hAnsi="Calibri" w:cs="Calibri"/>
          <w:b/>
          <w:color w:val="FF0000"/>
        </w:rPr>
      </w:pPr>
      <w:r>
        <w:rPr>
          <w:rFonts w:ascii="Calibri" w:eastAsia="Calibri" w:hAnsi="Calibri" w:cs="Calibri"/>
          <w:b/>
          <w:color w:val="000000"/>
        </w:rPr>
        <w:t xml:space="preserve">Analysis </w:t>
      </w:r>
    </w:p>
    <w:p w14:paraId="0DC5AC7F" w14:textId="787042B5" w:rsidR="00EA6FB0" w:rsidRPr="007556FC" w:rsidRDefault="00EA6FB0" w:rsidP="00EA6FB0">
      <w:pPr>
        <w:keepNext/>
        <w:pBdr>
          <w:top w:val="nil"/>
          <w:left w:val="nil"/>
          <w:bottom w:val="nil"/>
          <w:right w:val="nil"/>
          <w:between w:val="nil"/>
        </w:pBdr>
        <w:spacing w:before="120" w:after="120"/>
        <w:jc w:val="both"/>
        <w:rPr>
          <w:rFonts w:ascii="Calibri" w:eastAsia="Calibri" w:hAnsi="Calibri" w:cs="Calibri"/>
          <w:bCs/>
        </w:rPr>
      </w:pPr>
      <w:r>
        <w:rPr>
          <w:rFonts w:ascii="Calibri" w:eastAsia="Calibri" w:hAnsi="Calibri" w:cs="Calibri"/>
          <w:bCs/>
        </w:rPr>
        <w:t>This analysis first generates</w:t>
      </w:r>
      <w:r>
        <w:rPr>
          <w:rFonts w:ascii="Calibri" w:eastAsia="Calibri" w:hAnsi="Calibri" w:cs="Calibri"/>
          <w:bCs/>
        </w:rPr>
        <w:t xml:space="preserve"> </w:t>
      </w:r>
      <w:r>
        <w:rPr>
          <w:rFonts w:ascii="Calibri" w:eastAsia="Calibri" w:hAnsi="Calibri" w:cs="Calibri"/>
          <w:bCs/>
        </w:rPr>
        <w:t xml:space="preserve">synthetic data </w:t>
      </w:r>
      <w:r>
        <w:rPr>
          <w:rFonts w:ascii="Calibri" w:eastAsia="Calibri" w:hAnsi="Calibri" w:cs="Calibri"/>
          <w:bCs/>
        </w:rPr>
        <w:t xml:space="preserve">of </w:t>
      </w:r>
      <w:r>
        <w:rPr>
          <w:rFonts w:ascii="Calibri" w:eastAsia="Calibri" w:hAnsi="Calibri" w:cs="Calibri"/>
          <w:bCs/>
        </w:rPr>
        <w:t xml:space="preserve">1.3 million </w:t>
      </w:r>
      <w:r>
        <w:rPr>
          <w:rFonts w:ascii="Calibri" w:eastAsia="Calibri" w:hAnsi="Calibri" w:cs="Calibri"/>
          <w:bCs/>
        </w:rPr>
        <w:t>persons</w:t>
      </w:r>
      <w:r>
        <w:rPr>
          <w:rFonts w:ascii="Calibri" w:eastAsia="Calibri" w:hAnsi="Calibri" w:cs="Calibri"/>
          <w:bCs/>
        </w:rPr>
        <w:t xml:space="preserve"> </w:t>
      </w:r>
      <w:r>
        <w:rPr>
          <w:rFonts w:ascii="Calibri" w:eastAsia="Calibri" w:hAnsi="Calibri" w:cs="Calibri"/>
          <w:bCs/>
        </w:rPr>
        <w:t>in</w:t>
      </w:r>
      <w:r>
        <w:rPr>
          <w:rFonts w:ascii="Calibri" w:eastAsia="Calibri" w:hAnsi="Calibri" w:cs="Calibri"/>
          <w:bCs/>
        </w:rPr>
        <w:t xml:space="preserve"> Richmond, Virginia using the Synthea tool. Modules representing breast, colorectal and esophageal cancer are created using real epidemiological data to probabilistically assign synthetic patients to different disease/non-disease states. Verifying that the data is synthetically representative, we will run a </w:t>
      </w:r>
      <w:proofErr w:type="spellStart"/>
      <w:r>
        <w:rPr>
          <w:rFonts w:ascii="Calibri" w:eastAsia="Calibri" w:hAnsi="Calibri" w:cs="Calibri"/>
          <w:bCs/>
        </w:rPr>
        <w:t>a</w:t>
      </w:r>
      <w:proofErr w:type="spellEnd"/>
      <w:r>
        <w:rPr>
          <w:rFonts w:ascii="Calibri" w:eastAsia="Calibri" w:hAnsi="Calibri" w:cs="Calibri"/>
          <w:bCs/>
        </w:rPr>
        <w:t xml:space="preserve"> case-control and a self-controlled case series design for cancer risk among oral bisphosphonate users. Before performing the analysis, we also use the Common Evidence Model to identify </w:t>
      </w:r>
      <w:r>
        <w:rPr>
          <w:rFonts w:ascii="Calibri" w:eastAsia="Calibri" w:hAnsi="Calibri" w:cs="Calibri"/>
          <w:bCs/>
        </w:rPr>
        <w:t>68</w:t>
      </w:r>
      <w:r>
        <w:rPr>
          <w:rFonts w:ascii="Calibri" w:eastAsia="Calibri" w:hAnsi="Calibri" w:cs="Calibri"/>
          <w:bCs/>
        </w:rPr>
        <w:t xml:space="preserve"> negative controls in order to calibrate the risk estimates calculated in each design. Using the t</w:t>
      </w:r>
      <w:r>
        <w:rPr>
          <w:rFonts w:ascii="Calibri" w:eastAsia="Calibri" w:hAnsi="Calibri" w:cs="Calibri"/>
          <w:bCs/>
        </w:rPr>
        <w:t>wo</w:t>
      </w:r>
      <w:bookmarkStart w:id="0" w:name="_GoBack"/>
      <w:bookmarkEnd w:id="0"/>
      <w:r>
        <w:rPr>
          <w:rFonts w:ascii="Calibri" w:eastAsia="Calibri" w:hAnsi="Calibri" w:cs="Calibri"/>
          <w:bCs/>
        </w:rPr>
        <w:t xml:space="preserve"> epidemiological designs we assess cancer risk in oral bisphosphonate users, we assess the performance of each design and visualize the effect estimates after empirical calibration. </w:t>
      </w:r>
    </w:p>
    <w:p w14:paraId="7377488B" w14:textId="77777777" w:rsidR="00EA6FB0" w:rsidRDefault="00EA6FB0" w:rsidP="00EA6FB0">
      <w:pPr>
        <w:keepNext/>
        <w:pBdr>
          <w:top w:val="nil"/>
          <w:left w:val="nil"/>
          <w:bottom w:val="nil"/>
          <w:right w:val="nil"/>
          <w:between w:val="nil"/>
        </w:pBdr>
        <w:spacing w:before="120" w:after="120"/>
        <w:jc w:val="both"/>
        <w:rPr>
          <w:rFonts w:ascii="Calibri" w:eastAsia="Calibri" w:hAnsi="Calibri" w:cs="Calibri"/>
          <w:b/>
          <w:color w:val="000000"/>
        </w:rPr>
      </w:pPr>
      <w:r>
        <w:rPr>
          <w:rFonts w:ascii="Calibri" w:eastAsia="Calibri" w:hAnsi="Calibri" w:cs="Calibri"/>
          <w:b/>
          <w:color w:val="000000"/>
        </w:rPr>
        <w:t>Conclusions</w:t>
      </w:r>
    </w:p>
    <w:p w14:paraId="4226F67B" w14:textId="77777777" w:rsidR="00EA6FB0" w:rsidRDefault="00EA6FB0" w:rsidP="00EA6FB0">
      <w:pPr>
        <w:keepNext/>
        <w:pBdr>
          <w:top w:val="nil"/>
          <w:left w:val="nil"/>
          <w:bottom w:val="nil"/>
          <w:right w:val="nil"/>
          <w:between w:val="nil"/>
        </w:pBdr>
        <w:spacing w:before="120" w:after="120"/>
        <w:jc w:val="both"/>
        <w:rPr>
          <w:rFonts w:ascii="Calibri" w:eastAsia="Calibri" w:hAnsi="Calibri" w:cs="Calibri"/>
          <w:bCs/>
          <w:color w:val="000000"/>
        </w:rPr>
      </w:pPr>
      <w:r>
        <w:rPr>
          <w:rFonts w:ascii="Calibri" w:eastAsia="Calibri" w:hAnsi="Calibri" w:cs="Calibri"/>
          <w:bCs/>
          <w:color w:val="000000"/>
        </w:rPr>
        <w:t xml:space="preserve">We evaluate the possibility of conducting and developing methods for observational studies using synthetic datasets generated from Synthea. The application of OHDSI analytics introduces VCU to a systematic approach to observational research that is reproducible and empirically evaluated for identification of treatment effects. </w:t>
      </w:r>
    </w:p>
    <w:p w14:paraId="6BCA9B6E" w14:textId="77777777" w:rsidR="00EA6FB0" w:rsidRDefault="00EA6FB0" w:rsidP="00EA6FB0">
      <w:pPr>
        <w:rPr>
          <w:rFonts w:ascii="Calibri" w:eastAsia="Calibri" w:hAnsi="Calibri" w:cs="Calibri"/>
          <w:bCs/>
          <w:color w:val="000000"/>
        </w:rPr>
      </w:pPr>
      <w:r>
        <w:rPr>
          <w:rFonts w:ascii="Calibri" w:eastAsia="Calibri" w:hAnsi="Calibri" w:cs="Calibri"/>
          <w:bCs/>
          <w:color w:val="000000"/>
        </w:rPr>
        <w:br w:type="page"/>
      </w:r>
    </w:p>
    <w:p w14:paraId="56B9C77E" w14:textId="77777777" w:rsidR="00EA6FB0" w:rsidRPr="005266E0" w:rsidRDefault="00EA6FB0" w:rsidP="00EA6FB0">
      <w:pPr>
        <w:keepNext/>
        <w:pBdr>
          <w:top w:val="nil"/>
          <w:left w:val="nil"/>
          <w:bottom w:val="nil"/>
          <w:right w:val="nil"/>
          <w:between w:val="nil"/>
        </w:pBdr>
        <w:spacing w:before="120" w:after="120"/>
        <w:jc w:val="both"/>
        <w:rPr>
          <w:rFonts w:ascii="Calibri" w:eastAsia="Calibri" w:hAnsi="Calibri" w:cs="Calibri"/>
          <w:b/>
          <w:color w:val="000000"/>
        </w:rPr>
      </w:pPr>
      <w:r>
        <w:rPr>
          <w:rFonts w:ascii="Calibri" w:eastAsia="Calibri" w:hAnsi="Calibri" w:cs="Calibri"/>
          <w:b/>
          <w:color w:val="000000"/>
        </w:rPr>
        <w:lastRenderedPageBreak/>
        <w:t>References</w:t>
      </w:r>
    </w:p>
    <w:p w14:paraId="3027026B"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szCs w:val="24"/>
        </w:rPr>
      </w:pPr>
      <w:r>
        <w:fldChar w:fldCharType="begin" w:fldLock="1"/>
      </w:r>
      <w:r>
        <w:instrText xml:space="preserve">ADDIN Mendeley Bibliography CSL_BIBLIOGRAPHY </w:instrText>
      </w:r>
      <w:r>
        <w:fldChar w:fldCharType="separate"/>
      </w:r>
      <w:r w:rsidRPr="00516781">
        <w:rPr>
          <w:rFonts w:ascii="Calibri" w:hAnsi="Calibri" w:cs="Calibri"/>
          <w:noProof/>
          <w:szCs w:val="24"/>
        </w:rPr>
        <w:t xml:space="preserve">Cardwell, Chris R, Christian C Abnet, Marie M Cantwell, and Liam J Murray. 2010. “Exposure to Oral Bisphosphonates and Risk of Esophageal Cancer.” </w:t>
      </w:r>
      <w:r w:rsidRPr="00516781">
        <w:rPr>
          <w:rFonts w:ascii="Calibri" w:hAnsi="Calibri" w:cs="Calibri"/>
          <w:i/>
          <w:iCs/>
          <w:noProof/>
          <w:szCs w:val="24"/>
        </w:rPr>
        <w:t>JAMA</w:t>
      </w:r>
      <w:r w:rsidRPr="00516781">
        <w:rPr>
          <w:rFonts w:ascii="Calibri" w:hAnsi="Calibri" w:cs="Calibri"/>
          <w:noProof/>
          <w:szCs w:val="24"/>
        </w:rPr>
        <w:t xml:space="preserve"> 304 (6): 657–63. https://doi.org/10.1001/jama.2010.1098.</w:t>
      </w:r>
    </w:p>
    <w:p w14:paraId="63948DF3"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szCs w:val="24"/>
        </w:rPr>
      </w:pPr>
      <w:r w:rsidRPr="00516781">
        <w:rPr>
          <w:rFonts w:ascii="Calibri" w:hAnsi="Calibri" w:cs="Calibri"/>
          <w:noProof/>
          <w:szCs w:val="24"/>
        </w:rPr>
        <w:t xml:space="preserve">Green, Jane, Gabriela Czanner, Gillian Reeves, Joanna Watson, Lesley Wise, and Valerie Beral. 2010. “Oral Bisphosphonates and Risk of Cancer of Oesophagus, Stomach, and Colorectum: Case-Control Analysis within a UK Primary Care Cohort.” </w:t>
      </w:r>
      <w:r w:rsidRPr="00516781">
        <w:rPr>
          <w:rFonts w:ascii="Calibri" w:hAnsi="Calibri" w:cs="Calibri"/>
          <w:i/>
          <w:iCs/>
          <w:noProof/>
          <w:szCs w:val="24"/>
        </w:rPr>
        <w:t>BMJ (Clinical Research Ed.)</w:t>
      </w:r>
      <w:r w:rsidRPr="00516781">
        <w:rPr>
          <w:rFonts w:ascii="Calibri" w:hAnsi="Calibri" w:cs="Calibri"/>
          <w:noProof/>
          <w:szCs w:val="24"/>
        </w:rPr>
        <w:t xml:space="preserve"> 341 (September): c4444–c4444. https://doi.org/10.1136/bmj.c4444.</w:t>
      </w:r>
    </w:p>
    <w:p w14:paraId="55167D44"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szCs w:val="24"/>
        </w:rPr>
      </w:pPr>
      <w:r w:rsidRPr="00516781">
        <w:rPr>
          <w:rFonts w:ascii="Calibri" w:hAnsi="Calibri" w:cs="Calibri"/>
          <w:noProof/>
          <w:szCs w:val="24"/>
        </w:rPr>
        <w:t xml:space="preserve">Ryan, Patrick B, Paul E Stang, J Marc Overhage, Marc A Suchard, Abraham G Hartzema, William DuMouchel, Christian G Reich, Martijn J Schuemie, and David Madigan. 2013. “A Comparison of the Empirical Performance of Methods for a Risk Identification System.” </w:t>
      </w:r>
      <w:r w:rsidRPr="00516781">
        <w:rPr>
          <w:rFonts w:ascii="Calibri" w:hAnsi="Calibri" w:cs="Calibri"/>
          <w:i/>
          <w:iCs/>
          <w:noProof/>
          <w:szCs w:val="24"/>
        </w:rPr>
        <w:t>Drug Safety</w:t>
      </w:r>
      <w:r w:rsidRPr="00516781">
        <w:rPr>
          <w:rFonts w:ascii="Calibri" w:hAnsi="Calibri" w:cs="Calibri"/>
          <w:noProof/>
          <w:szCs w:val="24"/>
        </w:rPr>
        <w:t xml:space="preserve"> 36 (1): 143–58. https://doi.org/10.1007/s40264-013-0108-9.</w:t>
      </w:r>
    </w:p>
    <w:p w14:paraId="5AD0794F"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szCs w:val="24"/>
        </w:rPr>
      </w:pPr>
      <w:r w:rsidRPr="00516781">
        <w:rPr>
          <w:rFonts w:ascii="Calibri" w:hAnsi="Calibri" w:cs="Calibri"/>
          <w:noProof/>
          <w:szCs w:val="24"/>
        </w:rPr>
        <w:t xml:space="preserve">Schuemie, Martijn J, George Hripcsak, Patrick B Ryan, David Madigan, and Marc A Suchard. 2018. “Empirical Confidence Interval Calibration for Population-Level Effect Estimation Studies in Observational Healthcare Data.” </w:t>
      </w:r>
      <w:r w:rsidRPr="00516781">
        <w:rPr>
          <w:rFonts w:ascii="Calibri" w:hAnsi="Calibri" w:cs="Calibri"/>
          <w:i/>
          <w:iCs/>
          <w:noProof/>
          <w:szCs w:val="24"/>
        </w:rPr>
        <w:t>Proceedings of the National Academy of Sciences</w:t>
      </w:r>
      <w:r w:rsidRPr="00516781">
        <w:rPr>
          <w:rFonts w:ascii="Calibri" w:hAnsi="Calibri" w:cs="Calibri"/>
          <w:noProof/>
          <w:szCs w:val="24"/>
        </w:rPr>
        <w:t xml:space="preserve"> 115 (11): 2571 LP-2577. https://doi.org/10.1073/pnas.1708282114.</w:t>
      </w:r>
    </w:p>
    <w:p w14:paraId="0ACAC337"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szCs w:val="24"/>
        </w:rPr>
      </w:pPr>
      <w:r w:rsidRPr="00516781">
        <w:rPr>
          <w:rFonts w:ascii="Calibri" w:hAnsi="Calibri" w:cs="Calibri"/>
          <w:noProof/>
          <w:szCs w:val="24"/>
        </w:rPr>
        <w:t xml:space="preserve">Schuemie, Martijn J, Patrick B Ryan, William DuMouchel, Marc A Suchard, and David Madigan. 2014. “Interpreting Observational Studies: Why Empirical Calibration Is Needed to Correct p-Values.” </w:t>
      </w:r>
      <w:r w:rsidRPr="00516781">
        <w:rPr>
          <w:rFonts w:ascii="Calibri" w:hAnsi="Calibri" w:cs="Calibri"/>
          <w:i/>
          <w:iCs/>
          <w:noProof/>
          <w:szCs w:val="24"/>
        </w:rPr>
        <w:t>Statistics in Medicine</w:t>
      </w:r>
      <w:r w:rsidRPr="00516781">
        <w:rPr>
          <w:rFonts w:ascii="Calibri" w:hAnsi="Calibri" w:cs="Calibri"/>
          <w:noProof/>
          <w:szCs w:val="24"/>
        </w:rPr>
        <w:t xml:space="preserve"> 33 (2): 209–18. https://doi.org/10.1002/sim.5925.</w:t>
      </w:r>
    </w:p>
    <w:p w14:paraId="1FAFBD98" w14:textId="77777777" w:rsidR="00EA6FB0" w:rsidRPr="00516781" w:rsidRDefault="00EA6FB0" w:rsidP="00EA6FB0">
      <w:pPr>
        <w:widowControl w:val="0"/>
        <w:autoSpaceDE w:val="0"/>
        <w:autoSpaceDN w:val="0"/>
        <w:adjustRightInd w:val="0"/>
        <w:spacing w:after="240" w:line="240" w:lineRule="auto"/>
        <w:ind w:left="480" w:hanging="480"/>
        <w:rPr>
          <w:rFonts w:ascii="Calibri" w:hAnsi="Calibri" w:cs="Calibri"/>
          <w:noProof/>
        </w:rPr>
      </w:pPr>
      <w:r w:rsidRPr="00516781">
        <w:rPr>
          <w:rFonts w:ascii="Calibri" w:hAnsi="Calibri" w:cs="Calibri"/>
          <w:noProof/>
          <w:szCs w:val="24"/>
        </w:rPr>
        <w:t xml:space="preserve">Walonoski, Jason, Mark Kramer, Joseph Nichols, Andre Quina, Chris Moesel, Dylan Hall, Carlton Duffett, Kudakwashe Dube, Thomas Gallagher, and Scott McLachlan. 2017. “Synthea: An Approach, Method, and Software Mechanism for Generating Synthetic Patients and the Synthetic Electronic Health Care Record.” </w:t>
      </w:r>
      <w:r w:rsidRPr="00516781">
        <w:rPr>
          <w:rFonts w:ascii="Calibri" w:hAnsi="Calibri" w:cs="Calibri"/>
          <w:i/>
          <w:iCs/>
          <w:noProof/>
          <w:szCs w:val="24"/>
        </w:rPr>
        <w:t>Journal of the American Medical Informatics Association</w:t>
      </w:r>
      <w:r w:rsidRPr="00516781">
        <w:rPr>
          <w:rFonts w:ascii="Calibri" w:hAnsi="Calibri" w:cs="Calibri"/>
          <w:noProof/>
          <w:szCs w:val="24"/>
        </w:rPr>
        <w:t xml:space="preserve"> 25 (3): 230–38. https://doi.org/10.1093/jamia/ocx079.</w:t>
      </w:r>
    </w:p>
    <w:p w14:paraId="340934EE" w14:textId="77777777" w:rsidR="00EA6FB0" w:rsidRDefault="00EA6FB0" w:rsidP="00EA6FB0">
      <w:pPr>
        <w:keepNext/>
        <w:pBdr>
          <w:top w:val="nil"/>
          <w:left w:val="nil"/>
          <w:bottom w:val="nil"/>
          <w:right w:val="nil"/>
          <w:between w:val="nil"/>
        </w:pBdr>
        <w:spacing w:before="120" w:after="120"/>
        <w:jc w:val="both"/>
      </w:pPr>
      <w:r>
        <w:fldChar w:fldCharType="end"/>
      </w:r>
    </w:p>
    <w:p w14:paraId="60405797" w14:textId="77777777" w:rsidR="00EA6FB0" w:rsidRDefault="00EA6FB0" w:rsidP="00EA6FB0">
      <w:pPr>
        <w:pStyle w:val="NormalWeb"/>
        <w:spacing w:before="0" w:beforeAutospacing="0" w:after="120" w:afterAutospacing="0"/>
        <w:jc w:val="both"/>
      </w:pPr>
      <w:r>
        <w:rPr>
          <w:rFonts w:ascii="Calibri" w:hAnsi="Calibri" w:cs="Calibri"/>
          <w:b/>
          <w:bCs/>
          <w:color w:val="000000"/>
          <w:sz w:val="22"/>
          <w:szCs w:val="22"/>
        </w:rPr>
        <w:t>Is this the first time you have submitted your work to be displayed at any OHDSI Symposium?</w:t>
      </w:r>
    </w:p>
    <w:p w14:paraId="1F6D207D" w14:textId="77777777" w:rsidR="00EA6FB0" w:rsidRDefault="00EA6FB0" w:rsidP="00EA6FB0">
      <w:pPr>
        <w:pStyle w:val="NormalWeb"/>
        <w:spacing w:before="0" w:beforeAutospacing="0" w:after="120" w:afterAutospacing="0"/>
        <w:jc w:val="both"/>
      </w:pPr>
      <w:r>
        <w:rPr>
          <w:rFonts w:ascii="Calibri" w:hAnsi="Calibri" w:cs="Calibri"/>
          <w:b/>
          <w:bCs/>
          <w:color w:val="000000"/>
          <w:sz w:val="22"/>
          <w:szCs w:val="22"/>
        </w:rPr>
        <w:t xml:space="preserve"> </w:t>
      </w:r>
      <w:proofErr w:type="gramStart"/>
      <w:r>
        <w:rPr>
          <w:rFonts w:ascii="Calibri" w:hAnsi="Calibri" w:cs="Calibri"/>
          <w:b/>
          <w:bCs/>
          <w:color w:val="000000"/>
          <w:sz w:val="22"/>
          <w:szCs w:val="22"/>
        </w:rPr>
        <w:t>Yes  _</w:t>
      </w:r>
      <w:proofErr w:type="gramEnd"/>
      <w:r>
        <w:rPr>
          <w:rFonts w:ascii="Calibri" w:hAnsi="Calibri" w:cs="Calibri"/>
          <w:b/>
          <w:bCs/>
          <w:color w:val="000000"/>
          <w:sz w:val="22"/>
          <w:szCs w:val="22"/>
        </w:rPr>
        <w:t xml:space="preserve">____  </w:t>
      </w:r>
      <w:proofErr w:type="spellStart"/>
      <w:r>
        <w:rPr>
          <w:rFonts w:ascii="Calibri" w:hAnsi="Calibri" w:cs="Calibri"/>
          <w:b/>
          <w:bCs/>
          <w:color w:val="000000"/>
          <w:sz w:val="22"/>
          <w:szCs w:val="22"/>
        </w:rPr>
        <w:t>No___X</w:t>
      </w:r>
      <w:proofErr w:type="spellEnd"/>
      <w:r>
        <w:rPr>
          <w:rFonts w:ascii="Calibri" w:hAnsi="Calibri" w:cs="Calibri"/>
          <w:b/>
          <w:bCs/>
          <w:color w:val="000000"/>
          <w:sz w:val="22"/>
          <w:szCs w:val="22"/>
        </w:rPr>
        <w:t>___</w:t>
      </w:r>
    </w:p>
    <w:p w14:paraId="7F176B2C" w14:textId="77777777" w:rsidR="00EA6FB0" w:rsidRDefault="00EA6FB0"/>
    <w:sectPr w:rsidR="00EA6F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FB0"/>
    <w:rsid w:val="00EA6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72435"/>
  <w15:chartTrackingRefBased/>
  <w15:docId w15:val="{1D5CD4ED-AC98-4848-84B6-D825F819C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A6FB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6F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4017</Words>
  <Characters>22903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Lavallee</dc:creator>
  <cp:keywords/>
  <dc:description/>
  <cp:lastModifiedBy>Martin Lavallee</cp:lastModifiedBy>
  <cp:revision>1</cp:revision>
  <dcterms:created xsi:type="dcterms:W3CDTF">2019-09-12T21:54:00Z</dcterms:created>
  <dcterms:modified xsi:type="dcterms:W3CDTF">2019-09-12T22:00:00Z</dcterms:modified>
</cp:coreProperties>
</file>