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6AA51C0" w14:textId="38A9F8F5" w:rsidR="005026F1" w:rsidRDefault="003F5049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Use of Event Combined Table to Simplify ETL into OMOP CDM</w:t>
      </w:r>
    </w:p>
    <w:p w14:paraId="604E83EC" w14:textId="546686BA" w:rsidR="005026F1" w:rsidRDefault="006F28B3" w:rsidP="006F28B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  <w:sectPr w:rsidR="005026F1">
          <w:footerReference w:type="default" r:id="rId7"/>
          <w:pgSz w:w="12240" w:h="15840"/>
          <w:pgMar w:top="1440" w:right="1440" w:bottom="1440" w:left="1440" w:header="0" w:footer="720" w:gutter="0"/>
          <w:pgNumType w:start="1"/>
          <w:cols w:space="720"/>
        </w:sect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Don</w:t>
      </w:r>
      <w:r w:rsidR="000B06E1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M</w:t>
      </w:r>
      <w:r w:rsidR="000B06E1">
        <w:rPr>
          <w:rFonts w:ascii="Calibri" w:eastAsia="Calibri" w:hAnsi="Calibri" w:cs="Calibri"/>
          <w:b/>
          <w:color w:val="000000"/>
          <w:sz w:val="22"/>
          <w:szCs w:val="22"/>
        </w:rPr>
        <w:t xml:space="preserve">.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Torok</w:t>
      </w:r>
      <w:r w:rsidR="000B06E1">
        <w:rPr>
          <w:rFonts w:ascii="Calibri" w:eastAsia="Calibri" w:hAnsi="Calibri" w:cs="Calibri"/>
          <w:b/>
          <w:color w:val="000000"/>
          <w:sz w:val="22"/>
          <w:szCs w:val="22"/>
        </w:rPr>
        <w:t xml:space="preserve">,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MS Computer Science</w:t>
      </w:r>
    </w:p>
    <w:p w14:paraId="3F27D578" w14:textId="77777777" w:rsidR="005026F1" w:rsidRDefault="005026F1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635232C" w14:textId="77777777" w:rsidR="005026F1" w:rsidRDefault="000B06E1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Is this the first time you have submitted your work to be displayed at any OHDSI Symposium?</w:t>
      </w:r>
    </w:p>
    <w:p w14:paraId="6F93533B" w14:textId="4056023A" w:rsidR="005026F1" w:rsidRDefault="000B06E1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Yes  __</w:t>
      </w:r>
      <w:r w:rsidR="006F28B3" w:rsidRPr="006F28B3">
        <w:rPr>
          <w:rFonts w:ascii="Calibri" w:eastAsia="Calibri" w:hAnsi="Calibri" w:cs="Calibri"/>
          <w:b/>
          <w:sz w:val="22"/>
          <w:szCs w:val="22"/>
          <w:u w:val="single"/>
        </w:rPr>
        <w:t>X</w:t>
      </w:r>
      <w:r>
        <w:rPr>
          <w:rFonts w:ascii="Calibri" w:eastAsia="Calibri" w:hAnsi="Calibri" w:cs="Calibri"/>
          <w:b/>
          <w:sz w:val="22"/>
          <w:szCs w:val="22"/>
        </w:rPr>
        <w:t>__  No______</w:t>
      </w:r>
    </w:p>
    <w:p w14:paraId="01ECEF34" w14:textId="77777777" w:rsidR="005026F1" w:rsidRDefault="005026F1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9A15F99" w14:textId="639E32B2" w:rsidR="005026F1" w:rsidRDefault="000B06E1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Abstract</w:t>
      </w:r>
    </w:p>
    <w:p w14:paraId="470BCACE" w14:textId="07D27807" w:rsidR="006F28B3" w:rsidRPr="006F28B3" w:rsidRDefault="006F28B3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Theme="majorHAnsi" w:eastAsia="Calibri" w:hAnsiTheme="majorHAnsi" w:cstheme="majorHAnsi"/>
          <w:b/>
          <w:i/>
          <w:color w:val="000000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>T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he rule </w:t>
      </w:r>
      <w:r>
        <w:rPr>
          <w:rFonts w:asciiTheme="majorHAnsi" w:hAnsiTheme="majorHAnsi" w:cstheme="majorHAnsi"/>
          <w:i/>
          <w:sz w:val="22"/>
          <w:szCs w:val="22"/>
        </w:rPr>
        <w:t>for ETLing into the OMOP CDM</w:t>
      </w:r>
      <w:r w:rsidRPr="006F28B3">
        <w:rPr>
          <w:rFonts w:asciiTheme="majorHAnsi" w:hAnsiTheme="majorHAnsi" w:cstheme="majorHAnsi"/>
          <w:i/>
          <w:sz w:val="22"/>
          <w:szCs w:val="22"/>
        </w:rPr>
        <w:t>, that the</w:t>
      </w:r>
      <w:r w:rsidR="00320FCC">
        <w:rPr>
          <w:rFonts w:asciiTheme="majorHAnsi" w:hAnsiTheme="majorHAnsi" w:cstheme="majorHAnsi"/>
          <w:i/>
          <w:sz w:val="22"/>
          <w:szCs w:val="22"/>
        </w:rPr>
        <w:t xml:space="preserve"> domain of the target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concept </w:t>
      </w:r>
      <w:r w:rsidR="00320FCC">
        <w:rPr>
          <w:rFonts w:asciiTheme="majorHAnsi" w:hAnsiTheme="majorHAnsi" w:cstheme="majorHAnsi"/>
          <w:i/>
          <w:sz w:val="22"/>
          <w:szCs w:val="22"/>
        </w:rPr>
        <w:t xml:space="preserve">determines </w:t>
      </w:r>
      <w:r>
        <w:rPr>
          <w:rFonts w:asciiTheme="majorHAnsi" w:hAnsiTheme="majorHAnsi" w:cstheme="majorHAnsi"/>
          <w:i/>
          <w:sz w:val="22"/>
          <w:szCs w:val="22"/>
        </w:rPr>
        <w:t>which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OMOP table the medical event is stored in</w:t>
      </w:r>
      <w:r>
        <w:rPr>
          <w:rFonts w:asciiTheme="majorHAnsi" w:hAnsiTheme="majorHAnsi" w:cstheme="majorHAnsi"/>
          <w:i/>
          <w:sz w:val="22"/>
          <w:szCs w:val="22"/>
        </w:rPr>
        <w:t>,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</w:t>
      </w:r>
      <w:r>
        <w:rPr>
          <w:rFonts w:asciiTheme="majorHAnsi" w:hAnsiTheme="majorHAnsi" w:cstheme="majorHAnsi"/>
          <w:i/>
          <w:sz w:val="22"/>
          <w:szCs w:val="22"/>
        </w:rPr>
        <w:t xml:space="preserve">increases the </w:t>
      </w:r>
      <w:r w:rsidR="0038230B">
        <w:rPr>
          <w:rFonts w:asciiTheme="majorHAnsi" w:hAnsiTheme="majorHAnsi" w:cstheme="majorHAnsi"/>
          <w:i/>
          <w:sz w:val="22"/>
          <w:szCs w:val="22"/>
        </w:rPr>
        <w:t>complexity</w:t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38230B">
        <w:rPr>
          <w:rFonts w:asciiTheme="majorHAnsi" w:hAnsiTheme="majorHAnsi" w:cstheme="majorHAnsi"/>
          <w:i/>
          <w:sz w:val="22"/>
          <w:szCs w:val="22"/>
        </w:rPr>
        <w:t>of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ETL code. </w:t>
      </w:r>
      <w:r>
        <w:rPr>
          <w:rFonts w:asciiTheme="majorHAnsi" w:hAnsiTheme="majorHAnsi" w:cstheme="majorHAnsi"/>
          <w:i/>
          <w:sz w:val="22"/>
          <w:szCs w:val="22"/>
        </w:rPr>
        <w:t xml:space="preserve">An </w:t>
      </w:r>
      <w:r w:rsidRPr="006F28B3">
        <w:rPr>
          <w:rFonts w:asciiTheme="majorHAnsi" w:hAnsiTheme="majorHAnsi" w:cstheme="majorHAnsi"/>
          <w:i/>
          <w:sz w:val="22"/>
          <w:szCs w:val="22"/>
        </w:rPr>
        <w:t>approach</w:t>
      </w:r>
      <w:r>
        <w:rPr>
          <w:rFonts w:asciiTheme="majorHAnsi" w:hAnsiTheme="majorHAnsi" w:cstheme="majorHAnsi"/>
          <w:i/>
          <w:sz w:val="22"/>
          <w:szCs w:val="22"/>
        </w:rPr>
        <w:t xml:space="preserve"> where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a ‘mash-up’ table that combines attributes from the Condition, Procedure, Drug</w:t>
      </w:r>
      <w:r>
        <w:rPr>
          <w:rFonts w:asciiTheme="majorHAnsi" w:hAnsiTheme="majorHAnsi" w:cstheme="majorHAnsi"/>
          <w:i/>
          <w:sz w:val="22"/>
          <w:szCs w:val="22"/>
        </w:rPr>
        <w:t xml:space="preserve">, </w:t>
      </w:r>
      <w:r w:rsidRPr="006F28B3">
        <w:rPr>
          <w:rFonts w:asciiTheme="majorHAnsi" w:hAnsiTheme="majorHAnsi" w:cstheme="majorHAnsi"/>
          <w:i/>
          <w:sz w:val="22"/>
          <w:szCs w:val="22"/>
        </w:rPr>
        <w:t xml:space="preserve"> Observatio</w:t>
      </w:r>
      <w:r>
        <w:rPr>
          <w:rFonts w:asciiTheme="majorHAnsi" w:hAnsiTheme="majorHAnsi" w:cstheme="majorHAnsi"/>
          <w:i/>
          <w:sz w:val="22"/>
          <w:szCs w:val="22"/>
        </w:rPr>
        <w:t xml:space="preserve">n and Measurement into a single table </w:t>
      </w:r>
      <w:r w:rsidR="004C2D5F">
        <w:rPr>
          <w:rFonts w:asciiTheme="majorHAnsi" w:hAnsiTheme="majorHAnsi" w:cstheme="majorHAnsi"/>
          <w:i/>
          <w:sz w:val="22"/>
          <w:szCs w:val="22"/>
        </w:rPr>
        <w:t xml:space="preserve">can </w:t>
      </w:r>
      <w:r w:rsidR="0038230B">
        <w:rPr>
          <w:rFonts w:asciiTheme="majorHAnsi" w:hAnsiTheme="majorHAnsi" w:cstheme="majorHAnsi"/>
          <w:i/>
          <w:sz w:val="22"/>
          <w:szCs w:val="22"/>
        </w:rPr>
        <w:t>simplif</w:t>
      </w:r>
      <w:r w:rsidR="004C2D5F">
        <w:rPr>
          <w:rFonts w:asciiTheme="majorHAnsi" w:hAnsiTheme="majorHAnsi" w:cstheme="majorHAnsi"/>
          <w:i/>
          <w:sz w:val="22"/>
          <w:szCs w:val="22"/>
        </w:rPr>
        <w:t>y</w:t>
      </w:r>
      <w:r>
        <w:rPr>
          <w:rFonts w:asciiTheme="majorHAnsi" w:hAnsiTheme="majorHAnsi" w:cstheme="majorHAnsi"/>
          <w:i/>
          <w:sz w:val="22"/>
          <w:szCs w:val="22"/>
        </w:rPr>
        <w:t xml:space="preserve"> the ETL process</w:t>
      </w:r>
      <w:r w:rsidR="004C2D5F">
        <w:rPr>
          <w:rFonts w:asciiTheme="majorHAnsi" w:hAnsiTheme="majorHAnsi" w:cstheme="majorHAnsi"/>
          <w:i/>
          <w:sz w:val="22"/>
          <w:szCs w:val="22"/>
        </w:rPr>
        <w:t xml:space="preserve"> by separating</w:t>
      </w:r>
      <w:r w:rsidR="005E68E0">
        <w:rPr>
          <w:rFonts w:asciiTheme="majorHAnsi" w:hAnsiTheme="majorHAnsi" w:cstheme="majorHAnsi"/>
          <w:i/>
          <w:sz w:val="22"/>
          <w:szCs w:val="22"/>
        </w:rPr>
        <w:t xml:space="preserve"> the</w:t>
      </w:r>
      <w:r w:rsidR="004C2D5F">
        <w:rPr>
          <w:rFonts w:asciiTheme="majorHAnsi" w:hAnsiTheme="majorHAnsi" w:cstheme="majorHAnsi"/>
          <w:i/>
          <w:sz w:val="22"/>
          <w:szCs w:val="22"/>
        </w:rPr>
        <w:t xml:space="preserve"> process of loading the specific OMOP event table</w:t>
      </w:r>
      <w:r w:rsidR="005E68E0">
        <w:rPr>
          <w:rFonts w:asciiTheme="majorHAnsi" w:hAnsiTheme="majorHAnsi" w:cstheme="majorHAnsi"/>
          <w:i/>
          <w:sz w:val="22"/>
          <w:szCs w:val="22"/>
        </w:rPr>
        <w:t>s</w:t>
      </w:r>
      <w:r w:rsidR="004C2D5F">
        <w:rPr>
          <w:rFonts w:asciiTheme="majorHAnsi" w:hAnsiTheme="majorHAnsi" w:cstheme="majorHAnsi"/>
          <w:i/>
          <w:sz w:val="22"/>
          <w:szCs w:val="22"/>
        </w:rPr>
        <w:t xml:space="preserve"> from the logic required to transform the source to OHDSI defined attributes.</w:t>
      </w:r>
    </w:p>
    <w:p w14:paraId="51F483FB" w14:textId="47F7B2AB" w:rsidR="005026F1" w:rsidRDefault="000B06E1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Introduction</w:t>
      </w:r>
    </w:p>
    <w:p w14:paraId="50AF5C12" w14:textId="3CE9E55A" w:rsidR="00156248" w:rsidRDefault="00AD0C3E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For OMOP CDM v</w:t>
      </w:r>
      <w:r w:rsidRPr="00AD0C3E">
        <w:rPr>
          <w:rFonts w:asciiTheme="majorHAnsi" w:hAnsiTheme="majorHAnsi" w:cstheme="majorHAnsi"/>
          <w:sz w:val="22"/>
          <w:szCs w:val="22"/>
        </w:rPr>
        <w:t xml:space="preserve">4.5 and beyond </w:t>
      </w:r>
      <w:r>
        <w:rPr>
          <w:rFonts w:asciiTheme="majorHAnsi" w:hAnsiTheme="majorHAnsi" w:cstheme="majorHAnsi"/>
          <w:sz w:val="22"/>
          <w:szCs w:val="22"/>
        </w:rPr>
        <w:t xml:space="preserve">the target table for </w:t>
      </w:r>
      <w:r w:rsidR="00320FCC">
        <w:rPr>
          <w:rFonts w:asciiTheme="majorHAnsi" w:hAnsiTheme="majorHAnsi" w:cstheme="majorHAnsi"/>
          <w:sz w:val="22"/>
          <w:szCs w:val="22"/>
        </w:rPr>
        <w:t xml:space="preserve">a </w:t>
      </w:r>
      <w:r>
        <w:rPr>
          <w:rFonts w:asciiTheme="majorHAnsi" w:hAnsiTheme="majorHAnsi" w:cstheme="majorHAnsi"/>
          <w:sz w:val="22"/>
          <w:szCs w:val="22"/>
        </w:rPr>
        <w:t>medical event cannot be determined until after mapping the source value to a standard OMOP concept via the OMOP vocabulary tables.</w:t>
      </w:r>
      <w:r w:rsidR="0096169A">
        <w:rPr>
          <w:rFonts w:asciiTheme="majorHAnsi" w:hAnsiTheme="majorHAnsi" w:cstheme="majorHAnsi"/>
          <w:sz w:val="22"/>
          <w:szCs w:val="22"/>
        </w:rPr>
        <w:t xml:space="preserve">  ETL code that goes directly from the source table to the OMOP event tables must account for all the possible domain</w:t>
      </w:r>
      <w:r w:rsidR="00277BEB">
        <w:rPr>
          <w:rFonts w:asciiTheme="majorHAnsi" w:hAnsiTheme="majorHAnsi" w:cstheme="majorHAnsi"/>
          <w:sz w:val="22"/>
          <w:szCs w:val="22"/>
        </w:rPr>
        <w:t>s</w:t>
      </w:r>
      <w:r w:rsidR="0096169A">
        <w:rPr>
          <w:rFonts w:asciiTheme="majorHAnsi" w:hAnsiTheme="majorHAnsi" w:cstheme="majorHAnsi"/>
          <w:sz w:val="22"/>
          <w:szCs w:val="22"/>
        </w:rPr>
        <w:t xml:space="preserve"> a code may be mapped to.  For </w:t>
      </w:r>
      <w:r w:rsidR="008E0C26">
        <w:rPr>
          <w:rFonts w:asciiTheme="majorHAnsi" w:hAnsiTheme="majorHAnsi" w:cstheme="majorHAnsi"/>
          <w:sz w:val="22"/>
          <w:szCs w:val="22"/>
        </w:rPr>
        <w:t>example,</w:t>
      </w:r>
      <w:r w:rsidR="0096169A">
        <w:rPr>
          <w:rFonts w:asciiTheme="majorHAnsi" w:hAnsiTheme="majorHAnsi" w:cstheme="majorHAnsi"/>
          <w:sz w:val="22"/>
          <w:szCs w:val="22"/>
        </w:rPr>
        <w:t xml:space="preserve"> a CPT4 source code can end up in either the Procedure Occurrence, Drug Exposure, Observation or Measurement OMOP tables.  SQL code for an ETL that load</w:t>
      </w:r>
      <w:r w:rsidR="00277BEB">
        <w:rPr>
          <w:rFonts w:asciiTheme="majorHAnsi" w:hAnsiTheme="majorHAnsi" w:cstheme="majorHAnsi"/>
          <w:sz w:val="22"/>
          <w:szCs w:val="22"/>
        </w:rPr>
        <w:t>s</w:t>
      </w:r>
      <w:r w:rsidR="0096169A">
        <w:rPr>
          <w:rFonts w:asciiTheme="majorHAnsi" w:hAnsiTheme="majorHAnsi" w:cstheme="majorHAnsi"/>
          <w:sz w:val="22"/>
          <w:szCs w:val="22"/>
        </w:rPr>
        <w:t xml:space="preserve"> data directly from the source table to the OMOP event tables </w:t>
      </w:r>
      <w:r w:rsidR="004C2D5F">
        <w:rPr>
          <w:rFonts w:asciiTheme="majorHAnsi" w:hAnsiTheme="majorHAnsi" w:cstheme="majorHAnsi"/>
          <w:sz w:val="22"/>
          <w:szCs w:val="22"/>
        </w:rPr>
        <w:t>will</w:t>
      </w:r>
      <w:r w:rsidR="0096169A">
        <w:rPr>
          <w:rFonts w:asciiTheme="majorHAnsi" w:hAnsiTheme="majorHAnsi" w:cstheme="majorHAnsi"/>
          <w:sz w:val="22"/>
          <w:szCs w:val="22"/>
        </w:rPr>
        <w:t xml:space="preserve"> require four similar but separate SQL statements to account for the possible vocabulary mapping of the CPT4 codes. </w:t>
      </w:r>
    </w:p>
    <w:p w14:paraId="048E2E14" w14:textId="0715160B" w:rsidR="00AD0C3E" w:rsidRPr="00E941A3" w:rsidRDefault="008E0C2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Theme="majorHAnsi" w:eastAsia="Calibri" w:hAnsiTheme="majorHAnsi" w:cstheme="majorHAnsi"/>
          <w:b/>
          <w:color w:val="000000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This complexity can be </w:t>
      </w:r>
      <w:r w:rsidR="00277BEB">
        <w:rPr>
          <w:rFonts w:asciiTheme="majorHAnsi" w:hAnsiTheme="majorHAnsi" w:cstheme="majorHAnsi"/>
          <w:sz w:val="22"/>
          <w:szCs w:val="22"/>
        </w:rPr>
        <w:t>greatly reduced</w:t>
      </w:r>
      <w:r>
        <w:rPr>
          <w:rFonts w:asciiTheme="majorHAnsi" w:hAnsiTheme="majorHAnsi" w:cstheme="majorHAnsi"/>
          <w:sz w:val="22"/>
          <w:szCs w:val="22"/>
        </w:rPr>
        <w:t xml:space="preserve"> by </w:t>
      </w:r>
      <w:r w:rsidR="00E77CF8">
        <w:rPr>
          <w:rFonts w:asciiTheme="majorHAnsi" w:hAnsiTheme="majorHAnsi" w:cstheme="majorHAnsi"/>
          <w:sz w:val="22"/>
          <w:szCs w:val="22"/>
        </w:rPr>
        <w:t>creating</w:t>
      </w:r>
      <w:r>
        <w:rPr>
          <w:rFonts w:asciiTheme="majorHAnsi" w:hAnsiTheme="majorHAnsi" w:cstheme="majorHAnsi"/>
          <w:sz w:val="22"/>
          <w:szCs w:val="22"/>
        </w:rPr>
        <w:t xml:space="preserve"> a</w:t>
      </w:r>
      <w:r w:rsidR="00C934ED">
        <w:rPr>
          <w:rFonts w:asciiTheme="majorHAnsi" w:hAnsiTheme="majorHAnsi" w:cstheme="majorHAnsi"/>
          <w:sz w:val="22"/>
          <w:szCs w:val="22"/>
        </w:rPr>
        <w:t>n</w:t>
      </w:r>
      <w:r w:rsidR="00050A93">
        <w:rPr>
          <w:rFonts w:asciiTheme="majorHAnsi" w:hAnsiTheme="majorHAnsi" w:cstheme="majorHAnsi"/>
          <w:sz w:val="22"/>
          <w:szCs w:val="22"/>
        </w:rPr>
        <w:t xml:space="preserve"> </w:t>
      </w:r>
      <w:r w:rsidR="00050A93">
        <w:rPr>
          <w:rFonts w:asciiTheme="majorHAnsi" w:hAnsiTheme="majorHAnsi" w:cstheme="majorHAnsi"/>
          <w:i/>
          <w:sz w:val="22"/>
          <w:szCs w:val="22"/>
        </w:rPr>
        <w:t>event combined</w:t>
      </w:r>
      <w:r w:rsidR="00050A93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table</w:t>
      </w:r>
      <w:r w:rsidR="00320FCC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with columns that are a combination of all the columns that make up the OMOP event tables, Condition Occurrence,</w:t>
      </w:r>
      <w:r w:rsidR="00E941A3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 xml:space="preserve">Procedure Occurrence, Drug Exposure, Observation and Measurement.  </w:t>
      </w:r>
      <w:r w:rsidR="00277BEB">
        <w:rPr>
          <w:rFonts w:asciiTheme="majorHAnsi" w:hAnsiTheme="majorHAnsi" w:cstheme="majorHAnsi"/>
          <w:sz w:val="22"/>
          <w:szCs w:val="22"/>
        </w:rPr>
        <w:t xml:space="preserve">This will allow the ETL code to be agnostic as to the target OMOP table. </w:t>
      </w:r>
      <w:r w:rsidR="00E77CF8">
        <w:rPr>
          <w:rFonts w:asciiTheme="majorHAnsi" w:hAnsiTheme="majorHAnsi" w:cstheme="majorHAnsi"/>
          <w:sz w:val="22"/>
          <w:szCs w:val="22"/>
        </w:rPr>
        <w:t>Afterwards</w:t>
      </w:r>
      <w:r>
        <w:rPr>
          <w:rFonts w:asciiTheme="majorHAnsi" w:hAnsiTheme="majorHAnsi" w:cstheme="majorHAnsi"/>
          <w:sz w:val="22"/>
          <w:szCs w:val="22"/>
        </w:rPr>
        <w:t xml:space="preserve"> views </w:t>
      </w:r>
      <w:r w:rsidR="00E941A3">
        <w:rPr>
          <w:rFonts w:asciiTheme="majorHAnsi" w:hAnsiTheme="majorHAnsi" w:cstheme="majorHAnsi"/>
          <w:sz w:val="22"/>
          <w:szCs w:val="22"/>
        </w:rPr>
        <w:t xml:space="preserve">representing the CDM event tables </w:t>
      </w:r>
      <w:r w:rsidR="00E77CF8">
        <w:rPr>
          <w:rFonts w:asciiTheme="majorHAnsi" w:hAnsiTheme="majorHAnsi" w:cstheme="majorHAnsi"/>
          <w:sz w:val="22"/>
          <w:szCs w:val="22"/>
        </w:rPr>
        <w:t xml:space="preserve">can be written to reconstitute the OMOP event tables from the </w:t>
      </w:r>
      <w:r w:rsidR="00050A93">
        <w:rPr>
          <w:rFonts w:asciiTheme="majorHAnsi" w:hAnsiTheme="majorHAnsi" w:cstheme="majorHAnsi"/>
          <w:sz w:val="22"/>
          <w:szCs w:val="22"/>
        </w:rPr>
        <w:t>event combined</w:t>
      </w:r>
      <w:r w:rsidR="00E77CF8">
        <w:rPr>
          <w:rFonts w:asciiTheme="majorHAnsi" w:hAnsiTheme="majorHAnsi" w:cstheme="majorHAnsi"/>
          <w:sz w:val="22"/>
          <w:szCs w:val="22"/>
        </w:rPr>
        <w:t xml:space="preserve"> table.</w:t>
      </w:r>
    </w:p>
    <w:p w14:paraId="4F0F77B4" w14:textId="1240C5E3" w:rsidR="005026F1" w:rsidRDefault="00E941A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Creating the Event Combined Table</w:t>
      </w:r>
    </w:p>
    <w:p w14:paraId="29F2B2B1" w14:textId="338713A7" w:rsidR="005026F1" w:rsidRDefault="00E941A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050A93">
        <w:rPr>
          <w:rFonts w:ascii="Calibri" w:eastAsia="Calibri" w:hAnsi="Calibri" w:cs="Calibri"/>
          <w:i/>
          <w:color w:val="000000"/>
          <w:sz w:val="22"/>
          <w:szCs w:val="22"/>
        </w:rPr>
        <w:t>event combined</w:t>
      </w:r>
      <w:r w:rsid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table </w:t>
      </w:r>
      <w:r w:rsidR="003F615B">
        <w:rPr>
          <w:rFonts w:ascii="Calibri" w:eastAsia="Calibri" w:hAnsi="Calibri" w:cs="Calibri"/>
          <w:color w:val="000000"/>
          <w:sz w:val="22"/>
          <w:szCs w:val="22"/>
        </w:rPr>
        <w:t>is created by identifying all the common and unique attributes of the OMOP event table</w:t>
      </w:r>
      <w:r w:rsidR="00A576A7"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3F615B">
        <w:rPr>
          <w:rFonts w:ascii="Calibri" w:eastAsia="Calibri" w:hAnsi="Calibri" w:cs="Calibri"/>
          <w:color w:val="000000"/>
          <w:sz w:val="22"/>
          <w:szCs w:val="22"/>
        </w:rPr>
        <w:t xml:space="preserve">.  All </w:t>
      </w:r>
      <w:r w:rsidR="00A576A7">
        <w:rPr>
          <w:rFonts w:ascii="Calibri" w:eastAsia="Calibri" w:hAnsi="Calibri" w:cs="Calibri"/>
          <w:color w:val="000000"/>
          <w:sz w:val="22"/>
          <w:szCs w:val="22"/>
        </w:rPr>
        <w:t xml:space="preserve">event tables share </w:t>
      </w:r>
      <w:r w:rsidR="00E77CF8">
        <w:rPr>
          <w:rFonts w:ascii="Calibri" w:eastAsia="Calibri" w:hAnsi="Calibri" w:cs="Calibri"/>
          <w:color w:val="000000"/>
          <w:sz w:val="22"/>
          <w:szCs w:val="22"/>
        </w:rPr>
        <w:t>several</w:t>
      </w:r>
      <w:r w:rsidR="00A576A7">
        <w:rPr>
          <w:rFonts w:ascii="Calibri" w:eastAsia="Calibri" w:hAnsi="Calibri" w:cs="Calibri"/>
          <w:color w:val="000000"/>
          <w:sz w:val="22"/>
          <w:szCs w:val="22"/>
        </w:rPr>
        <w:t xml:space="preserve"> common attributes such as</w:t>
      </w:r>
      <w:r w:rsidR="003F615B">
        <w:rPr>
          <w:rFonts w:ascii="Calibri" w:eastAsia="Calibri" w:hAnsi="Calibri" w:cs="Calibri"/>
          <w:color w:val="000000"/>
          <w:sz w:val="22"/>
          <w:szCs w:val="22"/>
        </w:rPr>
        <w:t xml:space="preserve"> primary key, the person id, visit and visit detail links, start date time, mapped to concept, source value </w:t>
      </w:r>
      <w:r w:rsidR="00320FCC">
        <w:rPr>
          <w:rFonts w:ascii="Calibri" w:eastAsia="Calibri" w:hAnsi="Calibri" w:cs="Calibri"/>
          <w:color w:val="000000"/>
          <w:sz w:val="22"/>
          <w:szCs w:val="22"/>
        </w:rPr>
        <w:t xml:space="preserve">, etc. </w:t>
      </w:r>
      <w:r w:rsidR="003F615B">
        <w:rPr>
          <w:rFonts w:ascii="Calibri" w:eastAsia="Calibri" w:hAnsi="Calibri" w:cs="Calibri"/>
          <w:color w:val="000000"/>
          <w:sz w:val="22"/>
          <w:szCs w:val="22"/>
        </w:rPr>
        <w:t>Then there are attributes unique to the specific tables such as number of refills or days supply from Drug Exposure.</w:t>
      </w:r>
    </w:p>
    <w:p w14:paraId="1F2D1524" w14:textId="1A1987E1" w:rsidR="007C7823" w:rsidRDefault="007C782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Two additional attributes, 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default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_id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and 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_id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, are added and will be used to determine the target table when extracting from the </w:t>
      </w:r>
      <w:r w:rsid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event combined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table into the specific OMOP event tables.  The 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default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_id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 xml:space="preserve"> 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>is determined by the source data.  This represent</w:t>
      </w:r>
      <w:r w:rsidR="005E68E0">
        <w:rPr>
          <w:rFonts w:ascii="Calibri" w:eastAsia="Calibri" w:hAnsi="Calibri" w:cs="Calibri"/>
          <w:color w:val="000000"/>
          <w:sz w:val="22"/>
          <w:szCs w:val="22"/>
        </w:rPr>
        <w:t>s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the OMOP table the ETL would write to if it did not have to apply the OHDSI mapping rules.  The </w:t>
      </w:r>
      <w:r w:rsidRPr="00050A93"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</w:t>
      </w:r>
      <w:r w:rsid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_id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is filled with the domain id of the </w:t>
      </w:r>
      <w:r w:rsidR="005E68E0">
        <w:rPr>
          <w:rFonts w:ascii="Calibri" w:eastAsia="Calibri" w:hAnsi="Calibri" w:cs="Calibri"/>
          <w:color w:val="000000"/>
          <w:sz w:val="22"/>
          <w:szCs w:val="22"/>
        </w:rPr>
        <w:t>‘Maps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to</w:t>
      </w:r>
      <w:r w:rsidR="005E68E0">
        <w:rPr>
          <w:rFonts w:ascii="Calibri" w:eastAsia="Calibri" w:hAnsi="Calibri" w:cs="Calibri"/>
          <w:color w:val="000000"/>
          <w:sz w:val="22"/>
          <w:szCs w:val="22"/>
        </w:rPr>
        <w:t>’</w:t>
      </w:r>
      <w:r w:rsidRPr="007C7823">
        <w:rPr>
          <w:rFonts w:ascii="Calibri" w:eastAsia="Calibri" w:hAnsi="Calibri" w:cs="Calibri"/>
          <w:color w:val="000000"/>
          <w:sz w:val="22"/>
          <w:szCs w:val="22"/>
        </w:rPr>
        <w:t xml:space="preserve"> target concept. </w:t>
      </w:r>
    </w:p>
    <w:p w14:paraId="6FC46442" w14:textId="720C6845" w:rsidR="003F615B" w:rsidRDefault="003F615B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I found the easiest way to identify the common and unique attributes of the OMOP event tables is to annotate each table and its attributes on a single Excel worksheet. </w:t>
      </w:r>
      <w:r w:rsidR="003C2C3C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050A93">
        <w:rPr>
          <w:rFonts w:ascii="Calibri" w:eastAsia="Calibri" w:hAnsi="Calibri" w:cs="Calibri"/>
          <w:color w:val="000000"/>
          <w:sz w:val="22"/>
          <w:szCs w:val="22"/>
        </w:rPr>
        <w:t>T</w:t>
      </w:r>
      <w:r w:rsidR="003C2C3C">
        <w:rPr>
          <w:rFonts w:ascii="Calibri" w:eastAsia="Calibri" w:hAnsi="Calibri" w:cs="Calibri"/>
          <w:color w:val="000000"/>
          <w:sz w:val="22"/>
          <w:szCs w:val="22"/>
        </w:rPr>
        <w:t>his work was done using OHDSI CDM version 5.3</w:t>
      </w:r>
    </w:p>
    <w:p w14:paraId="01F74BE4" w14:textId="77777777" w:rsidR="0023262E" w:rsidRDefault="0023262E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br w:type="page"/>
      </w:r>
    </w:p>
    <w:p w14:paraId="0F2842E1" w14:textId="065B91DC" w:rsidR="007C7823" w:rsidRPr="00E941A3" w:rsidRDefault="007C7823" w:rsidP="0023262E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Table 1.  Abbreviated sample of Excel workbook definition of Event Combined table.</w:t>
      </w:r>
    </w:p>
    <w:tbl>
      <w:tblPr>
        <w:tblW w:w="9985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45"/>
        <w:gridCol w:w="2724"/>
        <w:gridCol w:w="2502"/>
        <w:gridCol w:w="2514"/>
      </w:tblGrid>
      <w:tr w:rsidR="002376EE" w:rsidRPr="002376EE" w14:paraId="2B61508C" w14:textId="77777777" w:rsidTr="002376EE">
        <w:trPr>
          <w:trHeight w:val="240"/>
        </w:trPr>
        <w:tc>
          <w:tcPr>
            <w:tcW w:w="2245" w:type="dxa"/>
            <w:shd w:val="clear" w:color="auto" w:fill="1F497D" w:themeFill="text2"/>
            <w:noWrap/>
            <w:vAlign w:val="bottom"/>
            <w:hideMark/>
          </w:tcPr>
          <w:p w14:paraId="0FACC94B" w14:textId="6DB2536A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P</w:t>
            </w:r>
            <w:r w:rsidRPr="002376EE"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rocedure_</w:t>
            </w: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O</w:t>
            </w:r>
            <w:r w:rsidRPr="002376EE"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 xml:space="preserve">ccurrence </w:t>
            </w:r>
          </w:p>
        </w:tc>
        <w:tc>
          <w:tcPr>
            <w:tcW w:w="2724" w:type="dxa"/>
            <w:shd w:val="clear" w:color="auto" w:fill="1F497D" w:themeFill="text2"/>
            <w:noWrap/>
            <w:vAlign w:val="bottom"/>
            <w:hideMark/>
          </w:tcPr>
          <w:p w14:paraId="72B307A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Drug Exposure</w:t>
            </w:r>
          </w:p>
        </w:tc>
        <w:tc>
          <w:tcPr>
            <w:tcW w:w="2502" w:type="dxa"/>
            <w:shd w:val="clear" w:color="auto" w:fill="1F497D" w:themeFill="text2"/>
            <w:noWrap/>
            <w:vAlign w:val="bottom"/>
            <w:hideMark/>
          </w:tcPr>
          <w:p w14:paraId="59388CF8" w14:textId="492504B3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C</w:t>
            </w:r>
            <w:r w:rsidRPr="002376EE"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ondition_</w:t>
            </w: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O</w:t>
            </w:r>
            <w:r w:rsidRPr="002376EE"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 xml:space="preserve">ccurrence </w:t>
            </w:r>
          </w:p>
        </w:tc>
        <w:tc>
          <w:tcPr>
            <w:tcW w:w="2514" w:type="dxa"/>
            <w:shd w:val="clear" w:color="auto" w:fill="1F497D" w:themeFill="text2"/>
            <w:noWrap/>
            <w:vAlign w:val="bottom"/>
            <w:hideMark/>
          </w:tcPr>
          <w:p w14:paraId="6984EC12" w14:textId="0268626B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  <w:sz w:val="18"/>
                <w:szCs w:val="18"/>
              </w:rPr>
              <w:t>Event Combined</w:t>
            </w:r>
          </w:p>
        </w:tc>
      </w:tr>
      <w:tr w:rsidR="002376EE" w:rsidRPr="002376EE" w14:paraId="1E0BAF9C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4F5BD4D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procedure_occurrence_id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1100141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drug_exposure_id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4B10939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condition_occurrence_id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55FB201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event_primary_id</w:t>
            </w:r>
          </w:p>
        </w:tc>
      </w:tr>
      <w:tr w:rsidR="002376EE" w:rsidRPr="002376EE" w14:paraId="00B2F34C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415CBA8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person_id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1D6DACF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person_id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1391F965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person_id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621953D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person_id</w:t>
            </w:r>
          </w:p>
        </w:tc>
      </w:tr>
      <w:tr w:rsidR="002376EE" w:rsidRPr="002376EE" w14:paraId="3A7AF465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6C2C4BF3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procedure_concept_id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7A6AA2F5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drug_concept_id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7FA9C25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condition_concept_id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14451D1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event_concept_id</w:t>
            </w:r>
          </w:p>
        </w:tc>
      </w:tr>
      <w:tr w:rsidR="002376EE" w:rsidRPr="002376EE" w14:paraId="15D2D0AF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19FEA12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procedure_date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5878520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drug_exposure_start_date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1AF04EC8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condition_start_date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100B1FE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event_start_date</w:t>
            </w:r>
          </w:p>
        </w:tc>
      </w:tr>
      <w:tr w:rsidR="002376EE" w:rsidRPr="002376EE" w14:paraId="4179DAF6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39C8A2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76D36C3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drug_exposure_end_date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3DAB7F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condition_end_date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28CFA857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event_end_date</w:t>
            </w:r>
          </w:p>
        </w:tc>
      </w:tr>
      <w:tr w:rsidR="002376EE" w:rsidRPr="002376EE" w14:paraId="34039005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7AD1E28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procedure_datetime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60EC936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drug_exposure_start_datetime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EE0F84A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condition_start_datetime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47A22F76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event_start_datetime</w:t>
            </w:r>
          </w:p>
        </w:tc>
      </w:tr>
      <w:tr w:rsidR="002376EE" w:rsidRPr="002376EE" w14:paraId="56C1423D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7B8D49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58C0E80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drug_exposure_end_datetime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B92CE8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condition_end_datetime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4A0902E7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event_end_datetime</w:t>
            </w:r>
          </w:p>
        </w:tc>
      </w:tr>
      <w:tr w:rsidR="002376EE" w:rsidRPr="002376EE" w14:paraId="5A7EFD06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4F1714B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procedure_source_value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4381D82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drug_source_value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74DB0F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condition_source_value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2A8C1143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event_source_value</w:t>
            </w:r>
          </w:p>
        </w:tc>
      </w:tr>
      <w:tr w:rsidR="002376EE" w:rsidRPr="002376EE" w14:paraId="3D6C56C2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4BDA62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procedure_source_concept_id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0A9CBB68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drug_source_concept_id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39CE3AF5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condition_source_concept_id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37B888F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event_source_concept_id</w:t>
            </w:r>
          </w:p>
        </w:tc>
      </w:tr>
      <w:tr w:rsidR="002376EE" w:rsidRPr="002376EE" w14:paraId="7E92A945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0492C3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procedure_source_vocabulary_id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123113D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drug_source_vocabulary_id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FD3EAB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condition_source_vocabulary_id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7FE13A9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event_source_vocabulary_id</w:t>
            </w:r>
          </w:p>
        </w:tc>
      </w:tr>
      <w:tr w:rsidR="002376EE" w:rsidRPr="002376EE" w14:paraId="677BB406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B74AF3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procedure_type_concept_id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26734B5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snip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301D36F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condition_type_concept_id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6BD1B78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event_type_concept_id</w:t>
            </w:r>
          </w:p>
        </w:tc>
      </w:tr>
      <w:tr w:rsidR="002376EE" w:rsidRPr="002376EE" w14:paraId="13D7D42F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FB64AA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visit_occurrence_id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5F5BE2C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visit_occurrence_id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316F56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visit_occurrence_id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02D0805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visit_occurrence_id</w:t>
            </w:r>
          </w:p>
        </w:tc>
      </w:tr>
      <w:tr w:rsidR="002376EE" w:rsidRPr="002376EE" w14:paraId="67F7169F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9F3D55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visit_detail_id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7A4D036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visit_detail_id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789B16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visit_detail_id</w:t>
            </w:r>
          </w:p>
        </w:tc>
        <w:tc>
          <w:tcPr>
            <w:tcW w:w="2514" w:type="dxa"/>
            <w:shd w:val="clear" w:color="000000" w:fill="C5D9F1"/>
            <w:noWrap/>
            <w:vAlign w:val="bottom"/>
            <w:hideMark/>
          </w:tcPr>
          <w:p w14:paraId="7868CFC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visit_detail_id</w:t>
            </w:r>
          </w:p>
        </w:tc>
      </w:tr>
      <w:tr w:rsidR="002376EE" w:rsidRPr="002376EE" w14:paraId="2A7BF537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D2BC72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provider_id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6384D506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provider_id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9ED328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provider_id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1BB9303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provider_id</w:t>
            </w:r>
          </w:p>
        </w:tc>
      </w:tr>
      <w:tr w:rsidR="002376EE" w:rsidRPr="002376EE" w14:paraId="61AEE7B6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707B182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quantity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D5A232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quantity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46025AD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6362D5B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quantity</w:t>
            </w:r>
          </w:p>
        </w:tc>
      </w:tr>
      <w:tr w:rsidR="002376EE" w:rsidRPr="002376EE" w14:paraId="29D19FDC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DFC1D78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1C032AB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stop_reason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408B333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stop_reason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37393C78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stop_reason</w:t>
            </w:r>
          </w:p>
        </w:tc>
      </w:tr>
      <w:tr w:rsidR="002376EE" w:rsidRPr="002376EE" w14:paraId="7F0A7B31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69EE93B6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modifier_concept_id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00A5905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A9E868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5E9B189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qualifier_concept_id</w:t>
            </w:r>
          </w:p>
        </w:tc>
      </w:tr>
      <w:tr w:rsidR="002376EE" w:rsidRPr="002376EE" w14:paraId="43F6DE20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025050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73FC67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24ADE86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3EB86B3D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unique_device_id</w:t>
            </w:r>
          </w:p>
        </w:tc>
      </w:tr>
      <w:tr w:rsidR="002376EE" w:rsidRPr="002376EE" w14:paraId="0730799B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70B438B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modifier_source_value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4CF1463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5F203FA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73365A3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qualifier_source_value</w:t>
            </w:r>
          </w:p>
        </w:tc>
      </w:tr>
      <w:tr w:rsidR="002376EE" w:rsidRPr="002376EE" w14:paraId="1B4E09CD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69B5DFA3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0151502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refills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277BA24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4D0D8903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refills</w:t>
            </w:r>
          </w:p>
        </w:tc>
      </w:tr>
      <w:tr w:rsidR="002376EE" w:rsidRPr="002376EE" w14:paraId="6B8A66AD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1BDAC73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318E58A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days_supply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5D2ABC3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4B82949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days_supply</w:t>
            </w:r>
          </w:p>
        </w:tc>
      </w:tr>
      <w:tr w:rsidR="002376EE" w:rsidRPr="002376EE" w14:paraId="29FA4C79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3791D92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7145ADE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sig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192E2C60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1B69193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sig</w:t>
            </w:r>
          </w:p>
        </w:tc>
      </w:tr>
      <w:tr w:rsidR="002376EE" w:rsidRPr="002376EE" w14:paraId="37A8798B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0254757C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7D2BBA0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effective_drug_dose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118BE621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3F082CB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effective_drug_dose</w:t>
            </w:r>
          </w:p>
        </w:tc>
      </w:tr>
      <w:tr w:rsidR="002376EE" w:rsidRPr="002376EE" w14:paraId="48F830F7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554B9626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4FCC02AD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dose_unit_concept_id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608F7CA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7BAD7897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dose_unit_concept_id</w:t>
            </w:r>
          </w:p>
        </w:tc>
      </w:tr>
      <w:tr w:rsidR="002376EE" w:rsidRPr="002376EE" w14:paraId="244B3D4C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747B542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A58A055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lot_number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750BA508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5AC7210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lot_number</w:t>
            </w:r>
          </w:p>
        </w:tc>
      </w:tr>
      <w:tr w:rsidR="002376EE" w:rsidRPr="002376EE" w14:paraId="31E8785A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757B5D14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18AECB9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route_concept_id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04C62FEA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4228CA5F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route_concept_id</w:t>
            </w:r>
          </w:p>
        </w:tc>
      </w:tr>
      <w:tr w:rsidR="002376EE" w:rsidRPr="002376EE" w14:paraId="71217853" w14:textId="77777777" w:rsidTr="002376EE">
        <w:trPr>
          <w:trHeight w:val="225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3E5DE65E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335B7D8A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route_source_value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57EBE55B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DCE6F1" w:fill="DCE6F1"/>
            <w:noWrap/>
            <w:vAlign w:val="bottom"/>
            <w:hideMark/>
          </w:tcPr>
          <w:p w14:paraId="0FCAC62D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route_source_value</w:t>
            </w:r>
          </w:p>
        </w:tc>
      </w:tr>
      <w:tr w:rsidR="002376EE" w:rsidRPr="002376EE" w14:paraId="4DF665F4" w14:textId="77777777" w:rsidTr="002376EE">
        <w:trPr>
          <w:trHeight w:val="240"/>
        </w:trPr>
        <w:tc>
          <w:tcPr>
            <w:tcW w:w="2245" w:type="dxa"/>
            <w:shd w:val="clear" w:color="000000" w:fill="C5D9F1"/>
            <w:noWrap/>
            <w:vAlign w:val="bottom"/>
            <w:hideMark/>
          </w:tcPr>
          <w:p w14:paraId="2C11E909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724" w:type="dxa"/>
            <w:shd w:val="clear" w:color="000000" w:fill="C5D9F1"/>
            <w:noWrap/>
            <w:vAlign w:val="bottom"/>
            <w:hideMark/>
          </w:tcPr>
          <w:p w14:paraId="4625D2DD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dose_unit_source_value</w:t>
            </w:r>
          </w:p>
        </w:tc>
        <w:tc>
          <w:tcPr>
            <w:tcW w:w="2502" w:type="dxa"/>
            <w:shd w:val="clear" w:color="000000" w:fill="C5D9F1"/>
            <w:noWrap/>
            <w:vAlign w:val="bottom"/>
            <w:hideMark/>
          </w:tcPr>
          <w:p w14:paraId="341744E6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2514" w:type="dxa"/>
            <w:shd w:val="clear" w:color="auto" w:fill="auto"/>
            <w:noWrap/>
            <w:vAlign w:val="bottom"/>
            <w:hideMark/>
          </w:tcPr>
          <w:p w14:paraId="7BBAF282" w14:textId="77777777" w:rsidR="002376EE" w:rsidRPr="002376EE" w:rsidRDefault="002376EE" w:rsidP="002376EE">
            <w:pPr>
              <w:widowControl/>
              <w:rPr>
                <w:rFonts w:asciiTheme="majorHAnsi" w:hAnsiTheme="majorHAnsi" w:cstheme="majorHAnsi"/>
                <w:sz w:val="18"/>
                <w:szCs w:val="18"/>
              </w:rPr>
            </w:pPr>
            <w:r w:rsidRPr="002376EE">
              <w:rPr>
                <w:rFonts w:asciiTheme="majorHAnsi" w:hAnsiTheme="majorHAnsi" w:cstheme="majorHAnsi"/>
                <w:sz w:val="18"/>
                <w:szCs w:val="18"/>
              </w:rPr>
              <w:t>dose_unit_source_value</w:t>
            </w:r>
          </w:p>
        </w:tc>
      </w:tr>
    </w:tbl>
    <w:p w14:paraId="3734F9AF" w14:textId="77777777" w:rsidR="0023262E" w:rsidRDefault="0023262E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aps/>
          <w:color w:val="000000"/>
          <w:sz w:val="22"/>
          <w:szCs w:val="22"/>
        </w:rPr>
      </w:pPr>
    </w:p>
    <w:p w14:paraId="0FFF8CA6" w14:textId="623C1D18" w:rsidR="005026F1" w:rsidRPr="0008787C" w:rsidRDefault="0008787C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ap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aps/>
          <w:color w:val="000000"/>
          <w:sz w:val="22"/>
          <w:szCs w:val="22"/>
        </w:rPr>
        <w:t>Advantage of Separating the ETL Logic</w:t>
      </w:r>
    </w:p>
    <w:p w14:paraId="59C36AD5" w14:textId="3DB4AC5C" w:rsidR="005026F1" w:rsidRPr="00703156" w:rsidRDefault="00050A93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 xml:space="preserve">he transform code </w:t>
      </w:r>
      <w:r w:rsidR="006B4589">
        <w:rPr>
          <w:rFonts w:ascii="Calibri" w:eastAsia="Calibri" w:hAnsi="Calibri" w:cs="Calibri"/>
          <w:color w:val="000000"/>
          <w:sz w:val="22"/>
          <w:szCs w:val="22"/>
        </w:rPr>
        <w:t>that reads from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6B4589"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>source</w:t>
      </w:r>
      <w:r w:rsidR="006B4589">
        <w:rPr>
          <w:rFonts w:ascii="Calibri" w:eastAsia="Calibri" w:hAnsi="Calibri" w:cs="Calibri"/>
          <w:color w:val="000000"/>
          <w:sz w:val="22"/>
          <w:szCs w:val="22"/>
        </w:rPr>
        <w:t xml:space="preserve"> data and writes into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 xml:space="preserve"> the </w:t>
      </w:r>
      <w:r w:rsidR="0008787C" w:rsidRPr="006B4589">
        <w:rPr>
          <w:rFonts w:ascii="Calibri" w:eastAsia="Calibri" w:hAnsi="Calibri" w:cs="Calibri"/>
          <w:i/>
          <w:iCs/>
          <w:color w:val="000000"/>
          <w:sz w:val="22"/>
          <w:szCs w:val="22"/>
        </w:rPr>
        <w:t>event combined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 xml:space="preserve"> table is deterministic. The ETL code reads from a source attribute and writes to the same attribute in </w:t>
      </w:r>
      <w:r w:rsidR="0008787C" w:rsidRPr="006B4589">
        <w:rPr>
          <w:rFonts w:ascii="Calibri" w:eastAsia="Calibri" w:hAnsi="Calibri" w:cs="Calibri"/>
          <w:i/>
          <w:iCs/>
          <w:color w:val="000000"/>
          <w:sz w:val="22"/>
          <w:szCs w:val="22"/>
        </w:rPr>
        <w:t>event combined</w:t>
      </w:r>
      <w:r w:rsidR="0008787C">
        <w:rPr>
          <w:rFonts w:ascii="Calibri" w:eastAsia="Calibri" w:hAnsi="Calibri" w:cs="Calibri"/>
          <w:color w:val="000000"/>
          <w:sz w:val="22"/>
          <w:szCs w:val="22"/>
        </w:rPr>
        <w:t xml:space="preserve"> regardless of the vocabulary mapping.  </w:t>
      </w:r>
      <w:r>
        <w:rPr>
          <w:rFonts w:ascii="Calibri" w:eastAsia="Calibri" w:hAnsi="Calibri" w:cs="Calibri"/>
          <w:color w:val="000000"/>
          <w:sz w:val="22"/>
          <w:szCs w:val="22"/>
        </w:rPr>
        <w:t>The ETL code tries to map the source concept</w:t>
      </w:r>
      <w:r w:rsidR="006B4589">
        <w:rPr>
          <w:rFonts w:ascii="Calibri" w:eastAsia="Calibri" w:hAnsi="Calibri" w:cs="Calibri"/>
          <w:color w:val="000000"/>
          <w:sz w:val="22"/>
          <w:szCs w:val="22"/>
        </w:rPr>
        <w:t xml:space="preserve">, but this is only to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populate the </w:t>
      </w:r>
      <w:r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attribute in</w:t>
      </w:r>
      <w:r w:rsidR="00320FCC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703156">
        <w:rPr>
          <w:rFonts w:ascii="Calibri" w:eastAsia="Calibri" w:hAnsi="Calibri" w:cs="Calibri"/>
          <w:color w:val="000000"/>
          <w:sz w:val="22"/>
          <w:szCs w:val="22"/>
        </w:rPr>
        <w:t>the</w:t>
      </w:r>
      <w:r w:rsidR="00C934ED">
        <w:rPr>
          <w:rFonts w:ascii="Calibri" w:eastAsia="Calibri" w:hAnsi="Calibri" w:cs="Calibri"/>
          <w:i/>
          <w:color w:val="000000"/>
          <w:sz w:val="22"/>
          <w:szCs w:val="22"/>
        </w:rPr>
        <w:t xml:space="preserve"> event combined</w:t>
      </w:r>
      <w:r w:rsidR="00C934ED">
        <w:rPr>
          <w:rFonts w:ascii="Calibri" w:eastAsia="Calibri" w:hAnsi="Calibri" w:cs="Calibri"/>
          <w:iCs/>
          <w:color w:val="000000"/>
          <w:sz w:val="22"/>
          <w:szCs w:val="22"/>
        </w:rPr>
        <w:t xml:space="preserve"> table</w:t>
      </w:r>
      <w:r w:rsidR="00703156">
        <w:rPr>
          <w:rFonts w:ascii="Calibri" w:eastAsia="Calibri" w:hAnsi="Calibri" w:cs="Calibri"/>
          <w:color w:val="000000"/>
          <w:sz w:val="22"/>
          <w:szCs w:val="22"/>
        </w:rPr>
        <w:t>, no additional logic as a result of the mapped</w:t>
      </w:r>
      <w:r w:rsidR="006B4589">
        <w:rPr>
          <w:rFonts w:ascii="Calibri" w:eastAsia="Calibri" w:hAnsi="Calibri" w:cs="Calibri"/>
          <w:color w:val="000000"/>
          <w:sz w:val="22"/>
          <w:szCs w:val="22"/>
        </w:rPr>
        <w:t>-</w:t>
      </w:r>
      <w:r w:rsidR="00703156">
        <w:rPr>
          <w:rFonts w:ascii="Calibri" w:eastAsia="Calibri" w:hAnsi="Calibri" w:cs="Calibri"/>
          <w:color w:val="000000"/>
          <w:sz w:val="22"/>
          <w:szCs w:val="22"/>
        </w:rPr>
        <w:t>to domain is required.</w:t>
      </w:r>
    </w:p>
    <w:p w14:paraId="3D120029" w14:textId="212856CA" w:rsidR="00A94DCC" w:rsidRPr="00C934ED" w:rsidRDefault="00C934ED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i/>
          <w:iCs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To create the views that represent the OMOP CDM tables</w:t>
      </w:r>
      <w:r w:rsidR="00A94DCC">
        <w:rPr>
          <w:rFonts w:ascii="Calibri" w:eastAsia="Calibri" w:hAnsi="Calibri" w:cs="Calibri"/>
          <w:color w:val="000000"/>
          <w:sz w:val="22"/>
          <w:szCs w:val="22"/>
        </w:rPr>
        <w:t xml:space="preserve"> work backward using the Excel workbook definition of the </w:t>
      </w:r>
      <w:r w:rsidR="00A94DCC" w:rsidRPr="00C934ED">
        <w:rPr>
          <w:rFonts w:ascii="Calibri" w:eastAsia="Calibri" w:hAnsi="Calibri" w:cs="Calibri"/>
          <w:i/>
          <w:iCs/>
          <w:color w:val="000000"/>
          <w:sz w:val="22"/>
          <w:szCs w:val="22"/>
        </w:rPr>
        <w:t>event combined</w:t>
      </w:r>
      <w:r w:rsidR="00A94DCC">
        <w:rPr>
          <w:rFonts w:ascii="Calibri" w:eastAsia="Calibri" w:hAnsi="Calibri" w:cs="Calibri"/>
          <w:color w:val="000000"/>
          <w:sz w:val="22"/>
          <w:szCs w:val="22"/>
        </w:rPr>
        <w:t xml:space="preserve"> table.  </w:t>
      </w:r>
      <w:r w:rsidR="003F5049">
        <w:rPr>
          <w:rFonts w:ascii="Calibri" w:eastAsia="Calibri" w:hAnsi="Calibri" w:cs="Calibri"/>
          <w:color w:val="000000"/>
          <w:sz w:val="22"/>
          <w:szCs w:val="22"/>
        </w:rPr>
        <w:t>For each view, the ‘where clause’ determines if a row belongs to the target table by the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iCs/>
          <w:color w:val="000000"/>
          <w:sz w:val="22"/>
          <w:szCs w:val="22"/>
        </w:rPr>
        <w:t>domain_id</w:t>
      </w:r>
      <w:r w:rsidR="003F5049">
        <w:rPr>
          <w:rFonts w:ascii="Calibri" w:eastAsia="Calibri" w:hAnsi="Calibri" w:cs="Calibri"/>
          <w:i/>
          <w:iCs/>
          <w:color w:val="000000"/>
          <w:sz w:val="22"/>
          <w:szCs w:val="22"/>
        </w:rPr>
        <w:t>,</w:t>
      </w:r>
      <w:r w:rsidR="003F5049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if it is defined</w:t>
      </w:r>
      <w:r w:rsidR="003F5049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>
        <w:rPr>
          <w:rFonts w:ascii="Calibri" w:eastAsia="Calibri" w:hAnsi="Calibri" w:cs="Calibri"/>
          <w:color w:val="000000"/>
          <w:sz w:val="22"/>
          <w:szCs w:val="22"/>
        </w:rPr>
        <w:t>otherwise</w:t>
      </w:r>
      <w:r w:rsidR="003F5049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i/>
          <w:iCs/>
          <w:color w:val="000000"/>
          <w:sz w:val="22"/>
          <w:szCs w:val="22"/>
        </w:rPr>
        <w:t>default_domain_id.</w:t>
      </w:r>
    </w:p>
    <w:p w14:paraId="47CB7499" w14:textId="77777777" w:rsidR="005026F1" w:rsidRDefault="000B06E1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6507BCC9" w14:textId="03AE1FBE" w:rsidR="005026F1" w:rsidRPr="0023262E" w:rsidRDefault="005B2B88" w:rsidP="0023262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Using an intermediate table that is a composite of all the columns of the separate event tables</w:t>
      </w:r>
      <w:r w:rsidR="00A84D46">
        <w:rPr>
          <w:rFonts w:ascii="Calibri" w:eastAsia="Calibri" w:hAnsi="Calibri" w:cs="Calibri"/>
          <w:color w:val="000000"/>
          <w:sz w:val="22"/>
          <w:szCs w:val="22"/>
        </w:rPr>
        <w:t xml:space="preserve"> simplifies the ETL process.  It allows the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ETL </w:t>
      </w:r>
      <w:r w:rsidR="00A84D46">
        <w:rPr>
          <w:rFonts w:ascii="Calibri" w:eastAsia="Calibri" w:hAnsi="Calibri" w:cs="Calibri"/>
          <w:color w:val="000000"/>
          <w:sz w:val="22"/>
          <w:szCs w:val="22"/>
        </w:rPr>
        <w:t>code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A84D46">
        <w:rPr>
          <w:rFonts w:ascii="Calibri" w:eastAsia="Calibri" w:hAnsi="Calibri" w:cs="Calibri"/>
          <w:color w:val="000000"/>
          <w:sz w:val="22"/>
          <w:szCs w:val="22"/>
        </w:rPr>
        <w:t>to disregard the OHDSI mapping rul</w:t>
      </w:r>
      <w:r w:rsidR="00320FCC"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320FCC">
        <w:rPr>
          <w:rFonts w:ascii="Calibri" w:eastAsia="Calibri" w:hAnsi="Calibri" w:cs="Calibri"/>
          <w:color w:val="000000"/>
          <w:sz w:val="22"/>
          <w:szCs w:val="22"/>
        </w:rPr>
        <w:t xml:space="preserve"> eliminating the need to write separate </w:t>
      </w:r>
      <w:r w:rsidR="005E68E0">
        <w:rPr>
          <w:rFonts w:ascii="Calibri" w:eastAsia="Calibri" w:hAnsi="Calibri" w:cs="Calibri"/>
          <w:color w:val="000000"/>
          <w:sz w:val="22"/>
          <w:szCs w:val="22"/>
        </w:rPr>
        <w:t>procedures</w:t>
      </w:r>
      <w:bookmarkStart w:id="0" w:name="_GoBack"/>
      <w:bookmarkEnd w:id="0"/>
      <w:r w:rsidR="00320FCC">
        <w:rPr>
          <w:rFonts w:ascii="Calibri" w:eastAsia="Calibri" w:hAnsi="Calibri" w:cs="Calibri"/>
          <w:color w:val="000000"/>
          <w:sz w:val="22"/>
          <w:szCs w:val="22"/>
        </w:rPr>
        <w:t xml:space="preserve"> for each possible target table.</w:t>
      </w:r>
    </w:p>
    <w:sectPr w:rsidR="005026F1" w:rsidRPr="0023262E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5879BE" w14:textId="77777777" w:rsidR="00152EE3" w:rsidRDefault="00152EE3">
      <w:r>
        <w:separator/>
      </w:r>
    </w:p>
  </w:endnote>
  <w:endnote w:type="continuationSeparator" w:id="0">
    <w:p w14:paraId="7F86BD36" w14:textId="77777777" w:rsidR="00152EE3" w:rsidRDefault="00152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30A48" w14:textId="77777777" w:rsidR="005026F1" w:rsidRDefault="005026F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5AAE57FA" w14:textId="77777777" w:rsidR="005026F1" w:rsidRDefault="005026F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B83BD" w14:textId="77777777" w:rsidR="00152EE3" w:rsidRDefault="00152EE3">
      <w:r>
        <w:separator/>
      </w:r>
    </w:p>
  </w:footnote>
  <w:footnote w:type="continuationSeparator" w:id="0">
    <w:p w14:paraId="566C6649" w14:textId="77777777" w:rsidR="00152EE3" w:rsidRDefault="00152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BF467F"/>
    <w:multiLevelType w:val="multilevel"/>
    <w:tmpl w:val="5DC6F9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6F1"/>
    <w:rsid w:val="00050A93"/>
    <w:rsid w:val="00054AC4"/>
    <w:rsid w:val="0008787C"/>
    <w:rsid w:val="000B06E1"/>
    <w:rsid w:val="00152EE3"/>
    <w:rsid w:val="00156248"/>
    <w:rsid w:val="0023262E"/>
    <w:rsid w:val="002376EE"/>
    <w:rsid w:val="00277BEB"/>
    <w:rsid w:val="00283821"/>
    <w:rsid w:val="0031005F"/>
    <w:rsid w:val="00320FCC"/>
    <w:rsid w:val="0038230B"/>
    <w:rsid w:val="003C2C3C"/>
    <w:rsid w:val="003F5049"/>
    <w:rsid w:val="003F615B"/>
    <w:rsid w:val="004C2D5F"/>
    <w:rsid w:val="005026F1"/>
    <w:rsid w:val="005B2B88"/>
    <w:rsid w:val="005E68E0"/>
    <w:rsid w:val="006B4589"/>
    <w:rsid w:val="006F28B3"/>
    <w:rsid w:val="00703156"/>
    <w:rsid w:val="0072294B"/>
    <w:rsid w:val="007C7823"/>
    <w:rsid w:val="00855FBD"/>
    <w:rsid w:val="008E0C26"/>
    <w:rsid w:val="0096169A"/>
    <w:rsid w:val="00A576A7"/>
    <w:rsid w:val="00A8005E"/>
    <w:rsid w:val="00A84D46"/>
    <w:rsid w:val="00A94DCC"/>
    <w:rsid w:val="00AD0C3E"/>
    <w:rsid w:val="00AD3C18"/>
    <w:rsid w:val="00C934ED"/>
    <w:rsid w:val="00E77CF8"/>
    <w:rsid w:val="00E9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1D550"/>
  <w15:docId w15:val="{7B2C3F86-0894-48D4-B525-E7455111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2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Torok</cp:lastModifiedBy>
  <cp:revision>14</cp:revision>
  <dcterms:created xsi:type="dcterms:W3CDTF">2019-05-21T20:35:00Z</dcterms:created>
  <dcterms:modified xsi:type="dcterms:W3CDTF">2019-09-05T21:02:00Z</dcterms:modified>
</cp:coreProperties>
</file>