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B15" w:rsidRDefault="005B6537">
      <w:pPr>
        <w:spacing w:line="24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Comparing 102 psychotropic drug regimens for diabetes mellitus risk</w:t>
      </w:r>
    </w:p>
    <w:p w:rsidR="007F7B15" w:rsidRDefault="007F7B15">
      <w:pPr>
        <w:spacing w:line="240" w:lineRule="auto"/>
        <w:jc w:val="center"/>
        <w:rPr>
          <w:rFonts w:ascii="Calibri" w:eastAsia="Calibri" w:hAnsi="Calibri" w:cs="Calibri"/>
          <w:b/>
        </w:rPr>
      </w:pPr>
    </w:p>
    <w:p w:rsidR="007F7B15" w:rsidRDefault="005B6537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  <w:i/>
          <w:vertAlign w:val="superscript"/>
        </w:rPr>
      </w:pPr>
      <w:r>
        <w:rPr>
          <w:rFonts w:ascii="Calibri" w:eastAsia="Calibri" w:hAnsi="Calibri" w:cs="Calibri"/>
        </w:rPr>
        <w:t>Anastasiya Nestsiarovich, M.D., Ph.D.</w:t>
      </w:r>
      <w:r>
        <w:rPr>
          <w:rFonts w:ascii="Calibri" w:eastAsia="Calibri" w:hAnsi="Calibri" w:cs="Calibri"/>
          <w:vertAlign w:val="superscript"/>
        </w:rPr>
        <w:t>1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vertAlign w:val="superscript"/>
        </w:rPr>
        <w:t xml:space="preserve"> </w:t>
      </w:r>
      <w:r>
        <w:rPr>
          <w:rFonts w:ascii="Calibri" w:eastAsia="Calibri" w:hAnsi="Calibri" w:cs="Calibri"/>
        </w:rPr>
        <w:t>Berit Kerner, M.D.</w:t>
      </w:r>
      <w:r>
        <w:rPr>
          <w:rFonts w:ascii="Calibri" w:eastAsia="Calibri" w:hAnsi="Calibri" w:cs="Calibri"/>
          <w:vertAlign w:val="superscript"/>
        </w:rPr>
        <w:t>2</w:t>
      </w:r>
      <w:r>
        <w:rPr>
          <w:rFonts w:ascii="Calibri" w:eastAsia="Calibri" w:hAnsi="Calibri" w:cs="Calibri"/>
        </w:rPr>
        <w:t>, Aurélien J. Mazurie, Ph.D.</w:t>
      </w:r>
      <w:r>
        <w:rPr>
          <w:rFonts w:ascii="Calibri" w:eastAsia="Calibri" w:hAnsi="Calibri" w:cs="Calibri"/>
          <w:vertAlign w:val="superscript"/>
        </w:rPr>
        <w:t>3</w:t>
      </w:r>
      <w:r>
        <w:rPr>
          <w:rFonts w:ascii="Calibri" w:eastAsia="Calibri" w:hAnsi="Calibri" w:cs="Calibri"/>
        </w:rPr>
        <w:t>, Daniel C. Cannon</w:t>
      </w:r>
      <w:r>
        <w:rPr>
          <w:rFonts w:ascii="Calibri" w:eastAsia="Calibri" w:hAnsi="Calibri" w:cs="Calibri"/>
          <w:vertAlign w:val="superscript"/>
        </w:rPr>
        <w:t>4</w:t>
      </w:r>
      <w:r>
        <w:rPr>
          <w:rFonts w:ascii="Calibri" w:eastAsia="Calibri" w:hAnsi="Calibri" w:cs="Calibri"/>
        </w:rPr>
        <w:t>, Yiliang Zhu</w:t>
      </w:r>
      <w:r>
        <w:rPr>
          <w:rFonts w:ascii="Calibri" w:eastAsia="Calibri" w:hAnsi="Calibri" w:cs="Calibri"/>
          <w:vertAlign w:val="superscript"/>
        </w:rPr>
        <w:t>5</w:t>
      </w:r>
      <w:r>
        <w:rPr>
          <w:rFonts w:ascii="Calibri" w:eastAsia="Calibri" w:hAnsi="Calibri" w:cs="Calibri"/>
        </w:rPr>
        <w:t>, Ph.D., Stuart J. Nelson, M.D.</w:t>
      </w:r>
      <w:r>
        <w:rPr>
          <w:rFonts w:ascii="Calibri" w:eastAsia="Calibri" w:hAnsi="Calibri" w:cs="Calibri"/>
          <w:vertAlign w:val="superscript"/>
        </w:rPr>
        <w:t>6,7</w:t>
      </w:r>
      <w:r>
        <w:rPr>
          <w:rFonts w:ascii="Calibri" w:eastAsia="Calibri" w:hAnsi="Calibri" w:cs="Calibri"/>
        </w:rPr>
        <w:t xml:space="preserve">, Tudor I. </w:t>
      </w:r>
      <w:proofErr w:type="spellStart"/>
      <w:r>
        <w:rPr>
          <w:rFonts w:ascii="Calibri" w:eastAsia="Calibri" w:hAnsi="Calibri" w:cs="Calibri"/>
        </w:rPr>
        <w:t>Oprea</w:t>
      </w:r>
      <w:proofErr w:type="spellEnd"/>
      <w:r>
        <w:rPr>
          <w:rFonts w:ascii="Calibri" w:eastAsia="Calibri" w:hAnsi="Calibri" w:cs="Calibri"/>
        </w:rPr>
        <w:t>, M.D., Ph.D.</w:t>
      </w:r>
      <w:r>
        <w:rPr>
          <w:rFonts w:ascii="Calibri" w:eastAsia="Calibri" w:hAnsi="Calibri" w:cs="Calibri"/>
          <w:vertAlign w:val="superscript"/>
        </w:rPr>
        <w:t>7</w:t>
      </w:r>
      <w:r>
        <w:rPr>
          <w:rFonts w:ascii="Calibri" w:eastAsia="Calibri" w:hAnsi="Calibri" w:cs="Calibri"/>
        </w:rPr>
        <w:t>, Annette S. Crisanti, Ph.D.</w:t>
      </w:r>
      <w:r>
        <w:rPr>
          <w:rFonts w:ascii="Calibri" w:eastAsia="Calibri" w:hAnsi="Calibri" w:cs="Calibri"/>
          <w:vertAlign w:val="superscript"/>
        </w:rPr>
        <w:t>8</w:t>
      </w:r>
      <w:r>
        <w:rPr>
          <w:rFonts w:ascii="Calibri" w:eastAsia="Calibri" w:hAnsi="Calibri" w:cs="Calibri"/>
        </w:rPr>
        <w:t>, Mauricio Tohen, M.D., Dr.PH., MBA</w:t>
      </w:r>
      <w:r>
        <w:rPr>
          <w:rFonts w:ascii="Calibri" w:eastAsia="Calibri" w:hAnsi="Calibri" w:cs="Calibri"/>
          <w:vertAlign w:val="superscript"/>
        </w:rPr>
        <w:t>8</w:t>
      </w:r>
      <w:r>
        <w:rPr>
          <w:rFonts w:ascii="Calibri" w:eastAsia="Calibri" w:hAnsi="Calibri" w:cs="Calibri"/>
        </w:rPr>
        <w:t>, Douglas J. Perkins, Ph.D.</w:t>
      </w:r>
      <w:r>
        <w:rPr>
          <w:rFonts w:ascii="Calibri" w:eastAsia="Calibri" w:hAnsi="Calibri" w:cs="Calibri"/>
          <w:vertAlign w:val="superscript"/>
        </w:rPr>
        <w:t>1</w:t>
      </w:r>
      <w:r>
        <w:rPr>
          <w:rFonts w:ascii="Calibri" w:eastAsia="Calibri" w:hAnsi="Calibri" w:cs="Calibri"/>
        </w:rPr>
        <w:t>, Christophe G. Lambert, Ph.D.</w:t>
      </w:r>
      <w:r>
        <w:rPr>
          <w:rFonts w:ascii="Calibri" w:eastAsia="Calibri" w:hAnsi="Calibri" w:cs="Calibri"/>
          <w:vertAlign w:val="superscript"/>
        </w:rPr>
        <w:t>1,7</w:t>
      </w: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  <w:vertAlign w:val="superscript"/>
        </w:rPr>
      </w:pPr>
      <w:r>
        <w:rPr>
          <w:rFonts w:ascii="Calibri" w:eastAsia="Calibri" w:hAnsi="Calibri" w:cs="Calibri"/>
          <w:vertAlign w:val="superscript"/>
        </w:rPr>
        <w:t>1</w:t>
      </w:r>
      <w:r>
        <w:rPr>
          <w:rFonts w:ascii="Calibri" w:eastAsia="Calibri" w:hAnsi="Calibri" w:cs="Calibri"/>
        </w:rPr>
        <w:t>Center for Global Health, Department of Internal Medicine, University of New Mexico Health Sciences Center, Albuquerque, New Mex</w:t>
      </w:r>
      <w:r>
        <w:rPr>
          <w:rFonts w:ascii="Calibri" w:eastAsia="Calibri" w:hAnsi="Calibri" w:cs="Calibri"/>
        </w:rPr>
        <w:t>ico, USA</w:t>
      </w:r>
      <w:r>
        <w:rPr>
          <w:rFonts w:ascii="Calibri" w:eastAsia="Calibri" w:hAnsi="Calibri" w:cs="Calibri"/>
          <w:vertAlign w:val="superscript"/>
        </w:rPr>
        <w:t xml:space="preserve"> </w:t>
      </w: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vertAlign w:val="superscript"/>
        </w:rPr>
        <w:t>2</w:t>
      </w:r>
      <w:r>
        <w:rPr>
          <w:rFonts w:ascii="Calibri" w:eastAsia="Calibri" w:hAnsi="Calibri" w:cs="Calibri"/>
        </w:rPr>
        <w:t>Semel Institute for Neuroscience and Human Behavior, David Geffen School of Medicine,</w:t>
      </w: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University of California, Los Angeles, California, USA</w:t>
      </w: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vertAlign w:val="superscript"/>
        </w:rPr>
        <w:t>3</w:t>
      </w:r>
      <w:r>
        <w:rPr>
          <w:rFonts w:ascii="Calibri" w:eastAsia="Calibri" w:hAnsi="Calibri" w:cs="Calibri"/>
        </w:rPr>
        <w:t>TwoFoldChange Consulting, Bozeman, Montana, USA.</w:t>
      </w: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  <w:highlight w:val="yellow"/>
        </w:rPr>
      </w:pPr>
      <w:r>
        <w:rPr>
          <w:rFonts w:ascii="Calibri" w:eastAsia="Calibri" w:hAnsi="Calibri" w:cs="Calibri"/>
          <w:vertAlign w:val="superscript"/>
        </w:rPr>
        <w:t>4</w:t>
      </w:r>
      <w:r>
        <w:rPr>
          <w:rFonts w:ascii="Calibri" w:eastAsia="Calibri" w:hAnsi="Calibri" w:cs="Calibri"/>
        </w:rPr>
        <w:t xml:space="preserve">Iterative Consulting, Albuquerque, New Mexico, USA </w:t>
      </w: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vertAlign w:val="superscript"/>
        </w:rPr>
        <w:t>5</w:t>
      </w:r>
      <w:r>
        <w:rPr>
          <w:rFonts w:ascii="Calibri" w:eastAsia="Calibri" w:hAnsi="Calibri" w:cs="Calibri"/>
        </w:rPr>
        <w:t>Division of Epidemiology, Biostatistics, and Preventive Medicine, Department of Internal Medicine, University of New Mexico Health Sciences Center, Albuquerque, New Mexico, USA</w:t>
      </w:r>
      <w:r>
        <w:rPr>
          <w:rFonts w:ascii="Calibri" w:eastAsia="Calibri" w:hAnsi="Calibri" w:cs="Calibri"/>
          <w:vertAlign w:val="superscript"/>
        </w:rPr>
        <w:t xml:space="preserve"> </w:t>
      </w:r>
    </w:p>
    <w:p w:rsidR="007F7B15" w:rsidRDefault="005B6537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vertAlign w:val="superscript"/>
        </w:rPr>
        <w:t>6</w:t>
      </w:r>
      <w:r>
        <w:rPr>
          <w:rFonts w:ascii="Calibri" w:eastAsia="Calibri" w:hAnsi="Calibri" w:cs="Calibri"/>
        </w:rPr>
        <w:t>University of New Mexico Health Sciences Library and Informatics Center, Albu</w:t>
      </w:r>
      <w:r>
        <w:rPr>
          <w:rFonts w:ascii="Calibri" w:eastAsia="Calibri" w:hAnsi="Calibri" w:cs="Calibri"/>
        </w:rPr>
        <w:t xml:space="preserve">querque, New Mexico, USA. </w:t>
      </w:r>
    </w:p>
    <w:p w:rsidR="007F7B15" w:rsidRDefault="005B6537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vertAlign w:val="superscript"/>
        </w:rPr>
        <w:t>7</w:t>
      </w:r>
      <w:r>
        <w:rPr>
          <w:rFonts w:ascii="Calibri" w:eastAsia="Calibri" w:hAnsi="Calibri" w:cs="Calibri"/>
        </w:rPr>
        <w:t xml:space="preserve">Translational Informatics Division, Department of Internal Medicine, University of New Mexico Health Sciences Center, Albuquerque, New Mexico, USA. </w:t>
      </w:r>
    </w:p>
    <w:p w:rsidR="007F7B15" w:rsidRDefault="005B6537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vertAlign w:val="superscript"/>
        </w:rPr>
        <w:t>8</w:t>
      </w:r>
      <w:r>
        <w:rPr>
          <w:rFonts w:ascii="Calibri" w:eastAsia="Calibri" w:hAnsi="Calibri" w:cs="Calibri"/>
        </w:rPr>
        <w:t>Department of Psychiatry &amp; Behavioral Sciences, University of New Mexico Healt</w:t>
      </w:r>
      <w:r>
        <w:rPr>
          <w:rFonts w:ascii="Calibri" w:eastAsia="Calibri" w:hAnsi="Calibri" w:cs="Calibri"/>
        </w:rPr>
        <w:t xml:space="preserve">h Sciences Center, Albuquerque, New Mexico, USA. </w:t>
      </w:r>
    </w:p>
    <w:p w:rsidR="007F7B15" w:rsidRDefault="007F7B15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</w:rPr>
      </w:pPr>
    </w:p>
    <w:p w:rsidR="007F7B15" w:rsidRDefault="005B6537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Is this the first time you have submitted your work to be displayed at any OHDSI Symposium?</w:t>
      </w:r>
    </w:p>
    <w:p w:rsidR="007F7B15" w:rsidRDefault="005B6537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</w:t>
      </w:r>
    </w:p>
    <w:p w:rsidR="007F7B15" w:rsidRDefault="007F7B15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</w:rPr>
      </w:pP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Abstract</w:t>
      </w: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The risk of diabetes mellitus (DM) was compared among 102 bipolar disorder drug regimens with “No drug” as a reference. The IBM </w:t>
      </w:r>
      <w:proofErr w:type="spellStart"/>
      <w:r>
        <w:rPr>
          <w:rFonts w:ascii="Calibri" w:eastAsia="Calibri" w:hAnsi="Calibri" w:cs="Calibri"/>
          <w:b/>
        </w:rPr>
        <w:t>MarketScan</w:t>
      </w:r>
      <w:proofErr w:type="spellEnd"/>
      <w:r>
        <w:rPr>
          <w:rFonts w:ascii="Calibri" w:eastAsia="Calibri" w:hAnsi="Calibri" w:cs="Calibri"/>
          <w:b/>
        </w:rPr>
        <w:t xml:space="preserve">® </w:t>
      </w:r>
      <w:proofErr w:type="spellStart"/>
      <w:r>
        <w:rPr>
          <w:rFonts w:ascii="Calibri" w:eastAsia="Calibri" w:hAnsi="Calibri" w:cs="Calibri"/>
          <w:b/>
        </w:rPr>
        <w:t>administratives</w:t>
      </w:r>
      <w:proofErr w:type="spellEnd"/>
      <w:r>
        <w:rPr>
          <w:rFonts w:ascii="Calibri" w:eastAsia="Calibri" w:hAnsi="Calibri" w:cs="Calibri"/>
          <w:b/>
        </w:rPr>
        <w:t xml:space="preserve"> claims database was used to retrospectively analyze data on 565,253 adults with bipolar disorder wit</w:t>
      </w:r>
      <w:r>
        <w:rPr>
          <w:rFonts w:ascii="Calibri" w:eastAsia="Calibri" w:hAnsi="Calibri" w:cs="Calibri"/>
          <w:b/>
        </w:rPr>
        <w:t>hout prior glucose metabolism-related diagnoses. The pharmacotherapies compared were lithium, mood-stabilizing anticonvulsants, antipsychotics, and antidepressants (monotherapy and multi-class polypharmacy). Cox regression modeling included fixed pre-treat</w:t>
      </w:r>
      <w:r>
        <w:rPr>
          <w:rFonts w:ascii="Calibri" w:eastAsia="Calibri" w:hAnsi="Calibri" w:cs="Calibri"/>
          <w:b/>
        </w:rPr>
        <w:t>ment covariates and time-varying drug exposure covariates to estimate the hazard ratio of each treatment versus “No drug”. The findings show an increased DM risk associated with antipsychotic use and multi-drug treatments. The evidence of a lower-than-base</w:t>
      </w:r>
      <w:r>
        <w:rPr>
          <w:rFonts w:ascii="Calibri" w:eastAsia="Calibri" w:hAnsi="Calibri" w:cs="Calibri"/>
          <w:b/>
        </w:rPr>
        <w:t>line risk of DM with lamotrigine, oxcarbazepine, lithium, and bupropion monotherapy should be further investigated.</w:t>
      </w:r>
    </w:p>
    <w:p w:rsidR="007F7B15" w:rsidRDefault="007F7B15">
      <w:pPr>
        <w:spacing w:line="240" w:lineRule="auto"/>
        <w:jc w:val="both"/>
        <w:rPr>
          <w:rFonts w:ascii="Calibri" w:eastAsia="Calibri" w:hAnsi="Calibri" w:cs="Calibri"/>
          <w:highlight w:val="white"/>
        </w:rPr>
      </w:pPr>
    </w:p>
    <w:p w:rsidR="007F7B15" w:rsidRDefault="007F7B15">
      <w:pPr>
        <w:tabs>
          <w:tab w:val="left" w:pos="4320"/>
        </w:tabs>
        <w:spacing w:line="240" w:lineRule="auto"/>
        <w:jc w:val="both"/>
        <w:rPr>
          <w:rFonts w:ascii="Calibri" w:eastAsia="Calibri" w:hAnsi="Calibri" w:cs="Calibri"/>
          <w:sz w:val="8"/>
          <w:szCs w:val="8"/>
        </w:rPr>
      </w:pP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  <w:r>
        <w:rPr>
          <w:rFonts w:ascii="Calibri" w:eastAsia="Calibri" w:hAnsi="Calibri" w:cs="Calibri"/>
          <w:b/>
          <w:highlight w:val="white"/>
        </w:rPr>
        <w:t>Background</w:t>
      </w:r>
    </w:p>
    <w:p w:rsid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</w:p>
    <w:p w:rsidR="006430AB" w:rsidRDefault="006430AB" w:rsidP="006430AB">
      <w:pPr>
        <w:spacing w:line="240" w:lineRule="auto"/>
        <w:jc w:val="both"/>
        <w:rPr>
          <w:rFonts w:ascii="Calibri" w:eastAsia="Calibri" w:hAnsi="Calibri" w:cs="Calibri"/>
          <w:highlight w:val="white"/>
        </w:rPr>
      </w:pPr>
      <w:r w:rsidRPr="006430AB">
        <w:rPr>
          <w:rFonts w:ascii="Calibri" w:eastAsia="Calibri" w:hAnsi="Calibri" w:cs="Calibri"/>
          <w:highlight w:val="white"/>
        </w:rPr>
        <w:t>Patients with BD have 1.7-3.2 times higher risk of diabetes mellitus (DM) compared with age- and gender-matched controls.</w:t>
      </w:r>
      <w:r w:rsidRPr="001D16E2">
        <w:rPr>
          <w:rFonts w:ascii="Calibri" w:eastAsia="Calibri" w:hAnsi="Calibri" w:cs="Calibri"/>
          <w:highlight w:val="white"/>
          <w:vertAlign w:val="superscript"/>
        </w:rPr>
        <w:t>1,2</w:t>
      </w:r>
      <w:r w:rsidRPr="006430AB">
        <w:rPr>
          <w:rFonts w:ascii="Calibri" w:eastAsia="Calibri" w:hAnsi="Calibri" w:cs="Calibri"/>
          <w:highlight w:val="white"/>
        </w:rPr>
        <w:t xml:space="preserve"> While biological factors and lifestyle play major roles in metabolic alterations, recent studies provide evidence on the </w:t>
      </w:r>
      <w:proofErr w:type="spellStart"/>
      <w:r w:rsidRPr="006430AB">
        <w:rPr>
          <w:rFonts w:ascii="Calibri" w:eastAsia="Calibri" w:hAnsi="Calibri" w:cs="Calibri"/>
          <w:highlight w:val="white"/>
        </w:rPr>
        <w:t>diabetogenic</w:t>
      </w:r>
      <w:proofErr w:type="spellEnd"/>
      <w:r w:rsidRPr="006430AB">
        <w:rPr>
          <w:rFonts w:ascii="Calibri" w:eastAsia="Calibri" w:hAnsi="Calibri" w:cs="Calibri"/>
          <w:highlight w:val="white"/>
        </w:rPr>
        <w:t xml:space="preserve"> properties of psychotropic drugs, in particular, antipsychotics and antidepressants.</w:t>
      </w:r>
      <w:r w:rsidRPr="001D16E2">
        <w:rPr>
          <w:rFonts w:ascii="Calibri" w:eastAsia="Calibri" w:hAnsi="Calibri" w:cs="Calibri"/>
          <w:highlight w:val="white"/>
          <w:vertAlign w:val="superscript"/>
        </w:rPr>
        <w:t>3,4</w:t>
      </w:r>
      <w:r w:rsidRPr="006430AB">
        <w:rPr>
          <w:rFonts w:ascii="Calibri" w:eastAsia="Calibri" w:hAnsi="Calibri" w:cs="Calibri"/>
          <w:highlight w:val="white"/>
        </w:rPr>
        <w:t xml:space="preserve"> There is a knowledge gap on DM risk in mood stabilizers, first generation antipsychotics, as well as psychotropic polypharmacy, which are used by 36-85% of patients with BD in the US.</w:t>
      </w:r>
      <w:r w:rsidRPr="001D16E2">
        <w:rPr>
          <w:rFonts w:ascii="Calibri" w:eastAsia="Calibri" w:hAnsi="Calibri" w:cs="Calibri"/>
          <w:highlight w:val="white"/>
          <w:vertAlign w:val="superscript"/>
        </w:rPr>
        <w:t>5</w:t>
      </w:r>
      <w:r w:rsidRPr="006430AB">
        <w:rPr>
          <w:rFonts w:ascii="Calibri" w:eastAsia="Calibri" w:hAnsi="Calibri" w:cs="Calibri"/>
          <w:highlight w:val="white"/>
        </w:rPr>
        <w:t xml:space="preserve"> No guidelines are currently available to inform DM-prevention strategies of choosing one BD drug over another, monotherapy versus polypharmacy, or one multi-drug regimen versus the other. This study aimed to compare the largest set of BD pharmacotherapies to date (102 drugs and drug combinations) for risk of DM.</w:t>
      </w:r>
    </w:p>
    <w:p w:rsidR="001D16E2" w:rsidRPr="006430AB" w:rsidRDefault="001D16E2" w:rsidP="006430AB">
      <w:pPr>
        <w:spacing w:line="240" w:lineRule="auto"/>
        <w:jc w:val="both"/>
        <w:rPr>
          <w:rFonts w:ascii="Calibri" w:eastAsia="Calibri" w:hAnsi="Calibri" w:cs="Calibri"/>
          <w:highlight w:val="white"/>
        </w:rPr>
      </w:pP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  <w:r>
        <w:rPr>
          <w:rFonts w:ascii="Calibri" w:eastAsia="Calibri" w:hAnsi="Calibri" w:cs="Calibri"/>
          <w:b/>
          <w:highlight w:val="white"/>
        </w:rPr>
        <w:t>Methods</w:t>
      </w:r>
    </w:p>
    <w:p w:rsidR="00000000" w:rsidRPr="006430AB" w:rsidRDefault="005B6537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 xml:space="preserve">Retrospective observational study </w:t>
      </w:r>
    </w:p>
    <w:p w:rsidR="00000000" w:rsidRPr="006430AB" w:rsidRDefault="005B6537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bCs/>
          <w:highlight w:val="white"/>
          <w:lang w:val="en-US"/>
        </w:rPr>
        <w:t xml:space="preserve">IBM </w:t>
      </w:r>
      <w:proofErr w:type="spellStart"/>
      <w:r w:rsidRPr="006430AB">
        <w:rPr>
          <w:rFonts w:ascii="Calibri" w:eastAsia="Calibri" w:hAnsi="Calibri" w:cs="Calibri"/>
          <w:b/>
          <w:bCs/>
          <w:highlight w:val="white"/>
          <w:lang w:val="en-US"/>
        </w:rPr>
        <w:t>MarketScan</w:t>
      </w:r>
      <w:proofErr w:type="spellEnd"/>
      <w:r w:rsidRPr="006430AB">
        <w:rPr>
          <w:rFonts w:ascii="Calibri" w:eastAsia="Calibri" w:hAnsi="Calibri" w:cs="Calibri"/>
          <w:b/>
          <w:bCs/>
          <w:highlight w:val="white"/>
          <w:lang w:val="en-US"/>
        </w:rPr>
        <w:t xml:space="preserve">® administrative claims data (2003-2015) </w:t>
      </w:r>
    </w:p>
    <w:p w:rsidR="00000000" w:rsidRPr="006430AB" w:rsidRDefault="005B6537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>932,815 commercially insured US in-and outpatients with BD</w:t>
      </w:r>
    </w:p>
    <w:p w:rsidR="00000000" w:rsidRPr="006430AB" w:rsidRDefault="005B6537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b/>
          <w:color w:val="FF0000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 xml:space="preserve">Data transformed to </w:t>
      </w:r>
      <w:r w:rsidRPr="006430AB">
        <w:rPr>
          <w:rFonts w:ascii="Calibri" w:eastAsia="Calibri" w:hAnsi="Calibri" w:cs="Calibri"/>
          <w:color w:val="000000" w:themeColor="text1"/>
          <w:highlight w:val="white"/>
          <w:lang w:val="en-US"/>
        </w:rPr>
        <w:t>the</w:t>
      </w:r>
      <w:r w:rsidRPr="006430AB">
        <w:rPr>
          <w:rFonts w:ascii="Calibri" w:eastAsia="Calibri" w:hAnsi="Calibri" w:cs="Calibri"/>
          <w:b/>
          <w:color w:val="000000" w:themeColor="text1"/>
          <w:highlight w:val="white"/>
          <w:lang w:val="en-US"/>
        </w:rPr>
        <w:t xml:space="preserve"> </w:t>
      </w:r>
      <w:r w:rsidRPr="006430AB">
        <w:rPr>
          <w:rFonts w:ascii="Calibri" w:eastAsia="Calibri" w:hAnsi="Calibri" w:cs="Calibri"/>
          <w:b/>
          <w:bCs/>
          <w:color w:val="FF0000"/>
          <w:highlight w:val="white"/>
          <w:lang w:val="en-US"/>
        </w:rPr>
        <w:t xml:space="preserve">OMOP common data model. </w:t>
      </w:r>
    </w:p>
    <w:p w:rsidR="00000000" w:rsidRDefault="005B6537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lastRenderedPageBreak/>
        <w:t>PostgreSQL queries and Python data transformati</w:t>
      </w:r>
      <w:r w:rsidRPr="006430AB">
        <w:rPr>
          <w:rFonts w:ascii="Calibri" w:eastAsia="Calibri" w:hAnsi="Calibri" w:cs="Calibri"/>
          <w:highlight w:val="white"/>
          <w:lang w:val="en-US"/>
        </w:rPr>
        <w:t>ons are available online: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</w:t>
      </w:r>
      <w:hyperlink r:id="rId5" w:history="1">
        <w:r w:rsidRPr="006430AB">
          <w:rPr>
            <w:rStyle w:val="Hyperlink"/>
            <w:rFonts w:ascii="Calibri" w:eastAsia="Calibri" w:hAnsi="Calibri" w:cs="Calibri"/>
            <w:b/>
            <w:highlight w:val="white"/>
            <w:lang w:val="en-US"/>
          </w:rPr>
          <w:t>https://gitlab.com/PCORIUNMPUBLIC/diabetes_public</w:t>
        </w:r>
      </w:hyperlink>
      <w:r w:rsidRPr="006430AB">
        <w:rPr>
          <w:rFonts w:ascii="Calibri" w:eastAsia="Calibri" w:hAnsi="Calibri" w:cs="Calibri"/>
          <w:b/>
          <w:highlight w:val="white"/>
          <w:lang w:val="en-US"/>
        </w:rPr>
        <w:t>.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highlight w:val="white"/>
          <w:lang w:val="en-US"/>
        </w:rPr>
        <w:t>Inclusion criteria</w:t>
      </w:r>
      <w:r w:rsidRPr="006430AB">
        <w:rPr>
          <w:rFonts w:ascii="Calibri" w:eastAsia="Calibri" w:hAnsi="Calibri" w:cs="Calibri"/>
          <w:highlight w:val="white"/>
          <w:lang w:val="en-US"/>
        </w:rPr>
        <w:t>: 18-64 years old, ≥2 diagnoses of BD in 2003-2015 (ICD 9CM/ICD 10CM), received BD drug(s) at least once.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Exclusion criteria: </w:t>
      </w:r>
      <w:r w:rsidRPr="006430AB">
        <w:rPr>
          <w:rFonts w:ascii="Calibri" w:eastAsia="Calibri" w:hAnsi="Calibri" w:cs="Calibri"/>
          <w:highlight w:val="white"/>
          <w:lang w:val="en-US"/>
        </w:rPr>
        <w:t>insulin fill,</w:t>
      </w:r>
      <w:r w:rsidR="001D16E2">
        <w:rPr>
          <w:rFonts w:ascii="Calibri" w:eastAsia="Calibri" w:hAnsi="Calibri" w:cs="Calibri"/>
          <w:highlight w:val="white"/>
          <w:lang w:val="en-US"/>
        </w:rPr>
        <w:t xml:space="preserve"> any glucose-related diagnoses </w:t>
      </w:r>
      <w:r w:rsidRPr="006430AB">
        <w:rPr>
          <w:rFonts w:ascii="Calibri" w:eastAsia="Calibri" w:hAnsi="Calibri" w:cs="Calibri"/>
          <w:highlight w:val="white"/>
          <w:lang w:val="en-US"/>
        </w:rPr>
        <w:t>prior to index exposure, schizophrenia, schizoaffective disorder, chronic delusional disorders, intellectual disabilities, autism spectrum disorders, mental illness of organic origin, Parkinson's disease.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“Meta-visits”: </w:t>
      </w:r>
      <w:r w:rsidRPr="006430AB">
        <w:rPr>
          <w:rFonts w:ascii="Calibri" w:eastAsia="Calibri" w:hAnsi="Calibri" w:cs="Calibri"/>
          <w:highlight w:val="white"/>
          <w:lang w:val="en-US"/>
        </w:rPr>
        <w:t>consecutive inpatient, ER, outpatient visits with no gap of &gt;1 day.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Start and stop time was recorded </w:t>
      </w:r>
      <w:r w:rsidRPr="006430AB">
        <w:rPr>
          <w:rFonts w:ascii="Calibri" w:eastAsia="Calibri" w:hAnsi="Calibri" w:cs="Calibri"/>
          <w:highlight w:val="white"/>
          <w:lang w:val="en-US"/>
        </w:rPr>
        <w:t xml:space="preserve">for each treatment exposure period (including “no drug”) (Figure 1). 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 xml:space="preserve">observation ended if patient had a DM-unrelated hospitalization/ER meta-visit (no data were available on pharmacotherapy in these visits). 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Cox regression model </w:t>
      </w:r>
      <w:r w:rsidRPr="006430AB">
        <w:rPr>
          <w:rFonts w:ascii="Calibri" w:eastAsia="Calibri" w:hAnsi="Calibri" w:cs="Calibri"/>
          <w:highlight w:val="white"/>
          <w:lang w:val="en-US"/>
        </w:rPr>
        <w:t xml:space="preserve">compared DM risk in 102 pharmacotherapies versus the “No drug” regimen. 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 xml:space="preserve">“Time-varying covariates” modeled the series of different time intervals of drug exposures from index exposure until outcome. 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 xml:space="preserve">Each regimen was required to have ≥1000 exposure periods and ≥5 cases of DM following exposure. 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>Using the covariance structure of the regression model, we also performed comparisons of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2-drug combinations vs. monotherapies, 3-drug combinations vs. 2-drug combinations, and 4-drug combinations versus 3-drug combinations (Figure 2). 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>Resolution IV fractional factorial design of experiments was used to select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85 pre-treatment covariates </w:t>
      </w:r>
      <w:r w:rsidRPr="006430AB">
        <w:rPr>
          <w:rFonts w:ascii="Calibri" w:eastAsia="Calibri" w:hAnsi="Calibri" w:cs="Calibri"/>
          <w:highlight w:val="white"/>
          <w:lang w:val="en-US"/>
        </w:rPr>
        <w:t>(mood polarity, severity, psychotic features, comorbidities, medications, etc.).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</w:t>
      </w:r>
    </w:p>
    <w:p w:rsidR="006430AB" w:rsidRPr="006430AB" w:rsidRDefault="006430AB" w:rsidP="006430AB">
      <w:pPr>
        <w:numPr>
          <w:ilvl w:val="0"/>
          <w:numId w:val="1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>A similar design was used in our recent study on kidney disorders risk on BD drug regimens.</w:t>
      </w:r>
      <w:r w:rsidRPr="006430AB">
        <w:rPr>
          <w:rFonts w:ascii="Calibri" w:eastAsia="Calibri" w:hAnsi="Calibri" w:cs="Calibri"/>
          <w:highlight w:val="white"/>
          <w:vertAlign w:val="superscript"/>
          <w:lang w:val="en-US"/>
        </w:rPr>
        <w:t>6</w:t>
      </w:r>
    </w:p>
    <w:p w:rsidR="006430AB" w:rsidRPr="006430AB" w:rsidRDefault="006430AB" w:rsidP="006430AB">
      <w:pPr>
        <w:spacing w:line="240" w:lineRule="auto"/>
        <w:ind w:left="720"/>
        <w:jc w:val="both"/>
        <w:rPr>
          <w:rFonts w:ascii="Calibri" w:eastAsia="Calibri" w:hAnsi="Calibri" w:cs="Calibri"/>
          <w:b/>
          <w:highlight w:val="white"/>
          <w:lang w:val="en-US"/>
        </w:rPr>
      </w:pPr>
    </w:p>
    <w:p w:rsidR="006430AB" w:rsidRP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</w:p>
    <w:p w:rsidR="007F7B15" w:rsidRDefault="005B6537">
      <w:pPr>
        <w:spacing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US"/>
        </w:rPr>
        <w:drawing>
          <wp:inline distT="114300" distB="114300" distL="114300" distR="114300">
            <wp:extent cx="5943600" cy="16510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F7B15" w:rsidRDefault="007F7B15">
      <w:pPr>
        <w:spacing w:line="240" w:lineRule="auto"/>
        <w:jc w:val="both"/>
        <w:rPr>
          <w:rFonts w:ascii="Calibri" w:eastAsia="Calibri" w:hAnsi="Calibri" w:cs="Calibri"/>
        </w:rPr>
      </w:pP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Figure 1.</w:t>
      </w:r>
      <w:r w:rsidRPr="001D16E2">
        <w:rPr>
          <w:rFonts w:ascii="Calibri" w:eastAsia="Calibri" w:hAnsi="Calibri" w:cs="Calibri"/>
          <w:b/>
          <w:sz w:val="18"/>
          <w:szCs w:val="18"/>
        </w:rPr>
        <w:t xml:space="preserve"> </w:t>
      </w:r>
      <w:r w:rsidR="001D16E2" w:rsidRPr="001D16E2">
        <w:rPr>
          <w:rFonts w:ascii="Calibri" w:eastAsia="Calibri" w:hAnsi="Calibri" w:cs="Calibri"/>
          <w:b/>
          <w:sz w:val="18"/>
          <w:szCs w:val="18"/>
        </w:rPr>
        <w:t>Study schema.</w:t>
      </w:r>
      <w:r w:rsidRPr="001D16E2">
        <w:rPr>
          <w:rFonts w:ascii="Calibri" w:eastAsia="Calibri" w:hAnsi="Calibri" w:cs="Calibri"/>
          <w:b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 xml:space="preserve">(1) </w:t>
      </w:r>
      <w:r w:rsidR="001D16E2">
        <w:rPr>
          <w:rFonts w:ascii="Calibri" w:eastAsia="Calibri" w:hAnsi="Calibri" w:cs="Calibri"/>
          <w:sz w:val="18"/>
          <w:szCs w:val="18"/>
        </w:rPr>
        <w:t>min.</w:t>
      </w:r>
      <w:r>
        <w:rPr>
          <w:rFonts w:ascii="Calibri" w:eastAsia="Calibri" w:hAnsi="Calibri" w:cs="Calibri"/>
          <w:sz w:val="18"/>
          <w:szCs w:val="18"/>
        </w:rPr>
        <w:t xml:space="preserve"> one year of observation; (2) Index visit - </w:t>
      </w:r>
      <w:r>
        <w:rPr>
          <w:rFonts w:ascii="Calibri" w:eastAsia="Calibri" w:hAnsi="Calibri" w:cs="Calibri"/>
          <w:sz w:val="18"/>
          <w:szCs w:val="18"/>
        </w:rPr>
        <w:t>meta-visit with a diagnosis of bipolar disorder; (3) Index exposure - first day of exposure observable on the last day of the index visit; (4) Time-</w:t>
      </w:r>
      <w:r>
        <w:rPr>
          <w:rFonts w:ascii="Calibri" w:eastAsia="Calibri" w:hAnsi="Calibri" w:cs="Calibri"/>
          <w:sz w:val="18"/>
          <w:szCs w:val="18"/>
        </w:rPr>
        <w:t xml:space="preserve">varying drug exposure period - series of time intervals with exposures [drug(s) of interest or “NO drug”] used in time-varying covariates regression model; </w:t>
      </w:r>
      <w:r>
        <w:rPr>
          <w:rFonts w:ascii="Calibri" w:eastAsia="Calibri" w:hAnsi="Calibri" w:cs="Calibri"/>
          <w:sz w:val="18"/>
          <w:szCs w:val="18"/>
        </w:rPr>
        <w:t>(5) Outcomes of interest.</w:t>
      </w:r>
    </w:p>
    <w:p w:rsidR="007F7B15" w:rsidRDefault="007F7B15">
      <w:pPr>
        <w:spacing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:rsid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</w:p>
    <w:p w:rsid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  <w:r>
        <w:rPr>
          <w:noProof/>
          <w:lang w:val="en-US"/>
        </w:rPr>
        <w:lastRenderedPageBreak/>
        <w:drawing>
          <wp:inline distT="0" distB="0" distL="0" distR="0" wp14:anchorId="0B2A65C2" wp14:editId="1A33CC45">
            <wp:extent cx="6400800" cy="3811270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81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</w:p>
    <w:p w:rsid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</w:p>
    <w:p w:rsid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</w:p>
    <w:p w:rsid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  <w:r w:rsidRPr="006430AB">
        <w:rPr>
          <w:rFonts w:ascii="Calibri" w:eastAsia="Calibri" w:hAnsi="Calibri" w:cs="Calibri"/>
          <w:b/>
          <w:highlight w:val="white"/>
        </w:rPr>
        <w:t>Figure 2. Polypharmacy risk hierarchy</w:t>
      </w:r>
    </w:p>
    <w:p w:rsidR="001D16E2" w:rsidRDefault="001D16E2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</w:p>
    <w:p w:rsidR="007F7B15" w:rsidRDefault="005B6537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  <w:r>
        <w:rPr>
          <w:rFonts w:ascii="Calibri" w:eastAsia="Calibri" w:hAnsi="Calibri" w:cs="Calibri"/>
          <w:b/>
          <w:highlight w:val="white"/>
        </w:rPr>
        <w:t xml:space="preserve">Results </w:t>
      </w:r>
    </w:p>
    <w:p w:rsidR="00000000" w:rsidRPr="006430AB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bCs/>
          <w:highlight w:val="white"/>
          <w:lang w:val="en-US"/>
        </w:rPr>
        <w:t xml:space="preserve">565,253 adults </w:t>
      </w:r>
      <w:r w:rsidRPr="001D16E2">
        <w:rPr>
          <w:rFonts w:ascii="Calibri" w:eastAsia="Calibri" w:hAnsi="Calibri" w:cs="Calibri"/>
          <w:highlight w:val="white"/>
          <w:lang w:val="en-US"/>
        </w:rPr>
        <w:t>met the inclusion criteria</w:t>
      </w:r>
    </w:p>
    <w:p w:rsidR="00000000" w:rsidRPr="001D16E2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1D16E2">
        <w:rPr>
          <w:rFonts w:ascii="Calibri" w:eastAsia="Calibri" w:hAnsi="Calibri" w:cs="Calibri"/>
          <w:highlight w:val="white"/>
          <w:lang w:val="en-US"/>
        </w:rPr>
        <w:t>95.9% of patients had right censoring.</w:t>
      </w:r>
    </w:p>
    <w:p w:rsidR="00000000" w:rsidRPr="006430AB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bCs/>
          <w:highlight w:val="white"/>
          <w:lang w:val="en-US"/>
        </w:rPr>
        <w:t xml:space="preserve">4.1% of patients (22,951) had newly observed DM. </w:t>
      </w:r>
    </w:p>
    <w:p w:rsidR="00000000" w:rsidRPr="001D16E2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1D16E2">
        <w:rPr>
          <w:rFonts w:ascii="Calibri" w:eastAsia="Calibri" w:hAnsi="Calibri" w:cs="Calibri"/>
          <w:highlight w:val="white"/>
          <w:lang w:val="en-US"/>
        </w:rPr>
        <w:t xml:space="preserve">Among those censored, 48.5% were admitted to a hospital/ER for DM-unrelated conditions. </w:t>
      </w:r>
    </w:p>
    <w:p w:rsidR="00000000" w:rsidRPr="006430AB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1D16E2">
        <w:rPr>
          <w:rFonts w:ascii="Calibri" w:eastAsia="Calibri" w:hAnsi="Calibri" w:cs="Calibri"/>
          <w:highlight w:val="white"/>
          <w:lang w:val="en-US"/>
        </w:rPr>
        <w:t>The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</w:t>
      </w:r>
      <w:r w:rsidRPr="006430AB">
        <w:rPr>
          <w:rFonts w:ascii="Calibri" w:eastAsia="Calibri" w:hAnsi="Calibri" w:cs="Calibri"/>
          <w:b/>
          <w:bCs/>
          <w:highlight w:val="white"/>
          <w:lang w:val="en-US"/>
        </w:rPr>
        <w:t xml:space="preserve">annual incidence of new-onset diabetes during the exposure period was 3.09% </w:t>
      </w:r>
      <w:r w:rsidRPr="001D16E2">
        <w:rPr>
          <w:rFonts w:ascii="Calibri" w:eastAsia="Calibri" w:hAnsi="Calibri" w:cs="Calibri"/>
          <w:highlight w:val="white"/>
          <w:lang w:val="en-US"/>
        </w:rPr>
        <w:t>(22,951 patients).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</w:t>
      </w:r>
    </w:p>
    <w:p w:rsidR="00000000" w:rsidRPr="001D16E2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1D16E2">
        <w:rPr>
          <w:rFonts w:ascii="Calibri" w:eastAsia="Calibri" w:hAnsi="Calibri" w:cs="Calibri"/>
          <w:highlight w:val="white"/>
          <w:lang w:val="en-US"/>
        </w:rPr>
        <w:t>The 659 observed treatm</w:t>
      </w:r>
      <w:r w:rsidRPr="001D16E2">
        <w:rPr>
          <w:rFonts w:ascii="Calibri" w:eastAsia="Calibri" w:hAnsi="Calibri" w:cs="Calibri"/>
          <w:highlight w:val="white"/>
          <w:lang w:val="en-US"/>
        </w:rPr>
        <w:t xml:space="preserve">ent regimens collapsed to </w:t>
      </w:r>
      <w:r w:rsidRPr="006430AB">
        <w:rPr>
          <w:rFonts w:ascii="Calibri" w:eastAsia="Calibri" w:hAnsi="Calibri" w:cs="Calibri"/>
          <w:b/>
          <w:bCs/>
          <w:highlight w:val="white"/>
          <w:lang w:val="en-US"/>
        </w:rPr>
        <w:t>19 monotherapies and 83 drug combinations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</w:t>
      </w:r>
      <w:r w:rsidRPr="001D16E2">
        <w:rPr>
          <w:rFonts w:ascii="Calibri" w:eastAsia="Calibri" w:hAnsi="Calibri" w:cs="Calibri"/>
          <w:highlight w:val="white"/>
          <w:lang w:val="en-US"/>
        </w:rPr>
        <w:t xml:space="preserve">fitting selection criteria. </w:t>
      </w:r>
    </w:p>
    <w:p w:rsidR="00000000" w:rsidRPr="006430AB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b/>
          <w:color w:val="FF0000"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bCs/>
          <w:color w:val="FF0000"/>
          <w:highlight w:val="white"/>
          <w:lang w:val="en-US"/>
        </w:rPr>
        <w:t>The hazard ratios (HRs) of drug-dependent DM ranged 0.79 -2.37</w:t>
      </w:r>
      <w:r w:rsidRPr="006430AB">
        <w:rPr>
          <w:rFonts w:ascii="Calibri" w:eastAsia="Calibri" w:hAnsi="Calibri" w:cs="Calibri"/>
          <w:b/>
          <w:color w:val="FF0000"/>
          <w:highlight w:val="white"/>
          <w:lang w:val="en-US"/>
        </w:rPr>
        <w:t xml:space="preserve">. </w:t>
      </w:r>
    </w:p>
    <w:p w:rsidR="00000000" w:rsidRPr="006430AB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1D16E2">
        <w:rPr>
          <w:rFonts w:ascii="Calibri" w:eastAsia="Calibri" w:hAnsi="Calibri" w:cs="Calibri"/>
          <w:highlight w:val="white"/>
          <w:lang w:val="en-US"/>
        </w:rPr>
        <w:t xml:space="preserve">One-third of the </w:t>
      </w:r>
      <w:r w:rsidRPr="001D16E2">
        <w:rPr>
          <w:rFonts w:ascii="Calibri" w:eastAsia="Calibri" w:hAnsi="Calibri" w:cs="Calibri"/>
          <w:highlight w:val="white"/>
          <w:lang w:val="en-US"/>
        </w:rPr>
        <w:t xml:space="preserve">studied pharmacotherapies, 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including </w:t>
      </w:r>
      <w:r w:rsidRPr="006430AB">
        <w:rPr>
          <w:rFonts w:ascii="Calibri" w:eastAsia="Calibri" w:hAnsi="Calibri" w:cs="Calibri"/>
          <w:b/>
          <w:bCs/>
          <w:highlight w:val="white"/>
          <w:lang w:val="en-US"/>
        </w:rPr>
        <w:t>multi-drug combinations and most of the antipsychotic-containing regimens, had a significantly higher risk of DM</w:t>
      </w: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 compared to “No drug”. </w:t>
      </w:r>
    </w:p>
    <w:p w:rsidR="00000000" w:rsidRPr="006430AB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b/>
          <w:highlight w:val="white"/>
          <w:lang w:val="en-US"/>
        </w:rPr>
      </w:pPr>
      <w:r w:rsidRPr="006430AB">
        <w:rPr>
          <w:rFonts w:ascii="Calibri" w:eastAsia="Calibri" w:hAnsi="Calibri" w:cs="Calibri"/>
          <w:b/>
          <w:highlight w:val="white"/>
          <w:lang w:val="en-US"/>
        </w:rPr>
        <w:t xml:space="preserve">A significantly </w:t>
      </w:r>
      <w:r w:rsidRPr="006430AB">
        <w:rPr>
          <w:rFonts w:ascii="Calibri" w:eastAsia="Calibri" w:hAnsi="Calibri" w:cs="Calibri"/>
          <w:b/>
          <w:bCs/>
          <w:color w:val="4F81BD" w:themeColor="accent1"/>
          <w:highlight w:val="white"/>
          <w:lang w:val="en-US"/>
        </w:rPr>
        <w:t>lower DM risk was associated with lithium, lamotrigine, ox</w:t>
      </w:r>
      <w:r w:rsidRPr="006430AB">
        <w:rPr>
          <w:rFonts w:ascii="Calibri" w:eastAsia="Calibri" w:hAnsi="Calibri" w:cs="Calibri"/>
          <w:b/>
          <w:bCs/>
          <w:color w:val="4F81BD" w:themeColor="accent1"/>
          <w:highlight w:val="white"/>
          <w:lang w:val="en-US"/>
        </w:rPr>
        <w:t xml:space="preserve">carbazepine, bupropion, selective serotonin reuptake inhibitors (SSRI) mono-class therapy and several drug combinations containing bupropion and an SSRI. </w:t>
      </w:r>
    </w:p>
    <w:p w:rsidR="006430AB" w:rsidRPr="001D16E2" w:rsidRDefault="005B6537" w:rsidP="006430AB">
      <w:pPr>
        <w:numPr>
          <w:ilvl w:val="0"/>
          <w:numId w:val="2"/>
        </w:numPr>
        <w:spacing w:line="240" w:lineRule="auto"/>
        <w:jc w:val="both"/>
        <w:rPr>
          <w:rFonts w:ascii="Calibri" w:eastAsia="Calibri" w:hAnsi="Calibri" w:cs="Calibri"/>
          <w:highlight w:val="white"/>
          <w:lang w:val="en-US"/>
        </w:rPr>
      </w:pPr>
      <w:r w:rsidRPr="001D16E2">
        <w:rPr>
          <w:rFonts w:ascii="Calibri" w:eastAsia="Calibri" w:hAnsi="Calibri" w:cs="Calibri"/>
          <w:highlight w:val="white"/>
          <w:lang w:val="en-US"/>
        </w:rPr>
        <w:t>As additional drugs were combine</w:t>
      </w:r>
      <w:r w:rsidRPr="001D16E2">
        <w:rPr>
          <w:rFonts w:ascii="Calibri" w:eastAsia="Calibri" w:hAnsi="Calibri" w:cs="Calibri"/>
          <w:highlight w:val="white"/>
          <w:lang w:val="en-US"/>
        </w:rPr>
        <w:t xml:space="preserve">d in more complex polypharmacy, higher HRs were consistently observed. </w:t>
      </w:r>
    </w:p>
    <w:p w:rsidR="006430AB" w:rsidRDefault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</w:p>
    <w:p w:rsidR="007F7B15" w:rsidRDefault="005B6537" w:rsidP="006430AB">
      <w:pPr>
        <w:spacing w:line="240" w:lineRule="auto"/>
        <w:jc w:val="both"/>
        <w:rPr>
          <w:rFonts w:ascii="Calibri" w:eastAsia="Calibri" w:hAnsi="Calibri" w:cs="Calibri"/>
          <w:b/>
          <w:highlight w:val="white"/>
        </w:rPr>
      </w:pPr>
      <w:r>
        <w:rPr>
          <w:rFonts w:ascii="Calibri" w:eastAsia="Calibri" w:hAnsi="Calibri" w:cs="Calibri"/>
          <w:b/>
          <w:highlight w:val="white"/>
        </w:rPr>
        <w:t>Conclusions</w:t>
      </w:r>
    </w:p>
    <w:p w:rsidR="006430AB" w:rsidRPr="006430AB" w:rsidRDefault="006430AB" w:rsidP="006430AB">
      <w:pPr>
        <w:pStyle w:val="ListParagraph"/>
        <w:numPr>
          <w:ilvl w:val="0"/>
          <w:numId w:val="4"/>
        </w:numPr>
        <w:shd w:val="clear" w:color="auto" w:fill="FFFFFF"/>
        <w:spacing w:after="120" w:line="240" w:lineRule="auto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</w:rPr>
        <w:t>D</w:t>
      </w:r>
      <w:r w:rsidR="005B6537" w:rsidRPr="006430AB">
        <w:rPr>
          <w:rFonts w:ascii="Calibri" w:eastAsia="Calibri" w:hAnsi="Calibri" w:cs="Calibri"/>
          <w:highlight w:val="white"/>
          <w:lang w:val="en-US"/>
        </w:rPr>
        <w:t xml:space="preserve">M risk on pharmacotherapy versus “No drug” varied 3-fold among different regimens. </w:t>
      </w:r>
    </w:p>
    <w:p w:rsidR="00000000" w:rsidRPr="006430AB" w:rsidRDefault="005B6537" w:rsidP="006430AB">
      <w:pPr>
        <w:pStyle w:val="ListParagraph"/>
        <w:numPr>
          <w:ilvl w:val="0"/>
          <w:numId w:val="4"/>
        </w:numPr>
        <w:shd w:val="clear" w:color="auto" w:fill="FFFFFF"/>
        <w:spacing w:after="120" w:line="240" w:lineRule="auto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 xml:space="preserve">Pharmacotherapies associated with significantly lower DM risk compared to “No drug” were identified. </w:t>
      </w:r>
    </w:p>
    <w:p w:rsidR="007F7B15" w:rsidRDefault="005B6537" w:rsidP="006430AB">
      <w:pPr>
        <w:pStyle w:val="ListParagraph"/>
        <w:numPr>
          <w:ilvl w:val="0"/>
          <w:numId w:val="4"/>
        </w:numPr>
        <w:shd w:val="clear" w:color="auto" w:fill="FFFFFF"/>
        <w:spacing w:after="120" w:line="240" w:lineRule="auto"/>
        <w:rPr>
          <w:rFonts w:ascii="Calibri" w:eastAsia="Calibri" w:hAnsi="Calibri" w:cs="Calibri"/>
          <w:highlight w:val="white"/>
          <w:lang w:val="en-US"/>
        </w:rPr>
      </w:pPr>
      <w:r w:rsidRPr="006430AB">
        <w:rPr>
          <w:rFonts w:ascii="Calibri" w:eastAsia="Calibri" w:hAnsi="Calibri" w:cs="Calibri"/>
          <w:highlight w:val="white"/>
          <w:lang w:val="en-US"/>
        </w:rPr>
        <w:t>A relatively high DM risk in psychotropic polypharmacy requires more</w:t>
      </w:r>
      <w:r w:rsidRPr="006430AB">
        <w:rPr>
          <w:rFonts w:ascii="Calibri" w:eastAsia="Calibri" w:hAnsi="Calibri" w:cs="Calibri"/>
          <w:highlight w:val="white"/>
          <w:lang w:val="en-US"/>
        </w:rPr>
        <w:t xml:space="preserve"> attention from researchers and clinicians.</w:t>
      </w:r>
    </w:p>
    <w:p w:rsidR="001D16E2" w:rsidRPr="006430AB" w:rsidRDefault="001D16E2" w:rsidP="001D16E2">
      <w:pPr>
        <w:pStyle w:val="ListParagraph"/>
        <w:shd w:val="clear" w:color="auto" w:fill="FFFFFF"/>
        <w:spacing w:after="120" w:line="240" w:lineRule="auto"/>
        <w:rPr>
          <w:rFonts w:ascii="Calibri" w:eastAsia="Calibri" w:hAnsi="Calibri" w:cs="Calibri"/>
          <w:highlight w:val="white"/>
          <w:lang w:val="en-US"/>
        </w:rPr>
      </w:pPr>
    </w:p>
    <w:p w:rsidR="007F7B15" w:rsidRDefault="005B6537" w:rsidP="006430AB">
      <w:pPr>
        <w:shd w:val="clear" w:color="auto" w:fill="FFFFFF"/>
        <w:spacing w:after="120" w:line="240" w:lineRule="auto"/>
        <w:rPr>
          <w:rFonts w:ascii="Calibri" w:eastAsia="Calibri" w:hAnsi="Calibri" w:cs="Calibri"/>
          <w:b/>
          <w:highlight w:val="white"/>
        </w:rPr>
      </w:pPr>
      <w:r>
        <w:rPr>
          <w:rFonts w:ascii="Calibri" w:eastAsia="Calibri" w:hAnsi="Calibri" w:cs="Calibri"/>
          <w:b/>
          <w:highlight w:val="white"/>
        </w:rPr>
        <w:lastRenderedPageBreak/>
        <w:t>R</w:t>
      </w:r>
      <w:r>
        <w:rPr>
          <w:rFonts w:ascii="Calibri" w:eastAsia="Calibri" w:hAnsi="Calibri" w:cs="Calibri"/>
          <w:b/>
          <w:highlight w:val="white"/>
        </w:rPr>
        <w:t>eferences</w:t>
      </w:r>
    </w:p>
    <w:p w:rsidR="007F7B15" w:rsidRDefault="005B6537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color w:val="000000"/>
          <w:highlight w:val="white"/>
        </w:rPr>
      </w:pPr>
      <w:r>
        <w:rPr>
          <w:rFonts w:ascii="Calibri" w:eastAsia="Calibri" w:hAnsi="Calibri" w:cs="Calibri"/>
          <w:color w:val="000000"/>
          <w:highlight w:val="white"/>
        </w:rPr>
        <w:t xml:space="preserve">1. </w:t>
      </w:r>
      <w:r>
        <w:rPr>
          <w:rFonts w:ascii="Calibri" w:eastAsia="Calibri" w:hAnsi="Calibri" w:cs="Calibri"/>
          <w:color w:val="000000"/>
          <w:highlight w:val="white"/>
        </w:rPr>
        <w:tab/>
      </w:r>
      <w:hyperlink r:id="rId8"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Vancampfort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D, Mitchell AJ, De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Hert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M,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Sienaert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P, Probst M, Buys R, Stubbs B. Prevalence and predictors of type 2 diabetes mellitus in peo</w:t>
        </w:r>
        <w:r>
          <w:rPr>
            <w:rFonts w:ascii="Calibri" w:eastAsia="Calibri" w:hAnsi="Calibri" w:cs="Calibri"/>
            <w:color w:val="000000"/>
            <w:highlight w:val="white"/>
          </w:rPr>
          <w:t xml:space="preserve">ple with bipolar disorder: a systematic review and meta-analysis. J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Clin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Psychiatry. 2015 Nov;76(11):1490–1499. PMID: 26214054</w:t>
        </w:r>
      </w:hyperlink>
    </w:p>
    <w:p w:rsidR="007F7B15" w:rsidRDefault="005B6537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color w:val="000000"/>
          <w:highlight w:val="white"/>
        </w:rPr>
      </w:pPr>
      <w:r>
        <w:rPr>
          <w:rFonts w:ascii="Calibri" w:eastAsia="Calibri" w:hAnsi="Calibri" w:cs="Calibri"/>
          <w:color w:val="000000"/>
          <w:highlight w:val="white"/>
        </w:rPr>
        <w:t xml:space="preserve">2. </w:t>
      </w:r>
      <w:r>
        <w:rPr>
          <w:rFonts w:ascii="Calibri" w:eastAsia="Calibri" w:hAnsi="Calibri" w:cs="Calibri"/>
          <w:color w:val="000000"/>
          <w:highlight w:val="white"/>
        </w:rPr>
        <w:tab/>
      </w:r>
      <w:hyperlink r:id="rId9">
        <w:r>
          <w:rPr>
            <w:rFonts w:ascii="Calibri" w:eastAsia="Calibri" w:hAnsi="Calibri" w:cs="Calibri"/>
            <w:color w:val="000000"/>
            <w:highlight w:val="white"/>
          </w:rPr>
          <w:t xml:space="preserve">Charles EF, Lambert CG, Kerner B. Bipolar disorder and diabetes mellitus: evidence for disease-modifying effects and treatment implications.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Int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J Bipolar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Disord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>. 2016 Dec;4(1):13. PMCID: PMC4936996</w:t>
        </w:r>
      </w:hyperlink>
    </w:p>
    <w:p w:rsidR="007F7B15" w:rsidRDefault="005B6537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color w:val="000000"/>
          <w:highlight w:val="white"/>
        </w:rPr>
      </w:pPr>
      <w:r>
        <w:rPr>
          <w:rFonts w:ascii="Calibri" w:eastAsia="Calibri" w:hAnsi="Calibri" w:cs="Calibri"/>
          <w:color w:val="000000"/>
          <w:highlight w:val="white"/>
        </w:rPr>
        <w:t xml:space="preserve">3. </w:t>
      </w:r>
      <w:r>
        <w:rPr>
          <w:rFonts w:ascii="Calibri" w:eastAsia="Calibri" w:hAnsi="Calibri" w:cs="Calibri"/>
          <w:color w:val="000000"/>
          <w:highlight w:val="white"/>
        </w:rPr>
        <w:tab/>
      </w:r>
      <w:hyperlink r:id="rId10">
        <w:r>
          <w:rPr>
            <w:rFonts w:ascii="Calibri" w:eastAsia="Calibri" w:hAnsi="Calibri" w:cs="Calibri"/>
            <w:color w:val="000000"/>
            <w:highlight w:val="white"/>
          </w:rPr>
          <w:t>Al-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Zoairy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R,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Ress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C,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Tschoner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A,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Kaser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S,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Ebenbichler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C. The effects of psychotropic drugs on the regulation of glucose metabolism.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Curr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Diabetes Rev. 2013 Sep;9(5):362–370. PMID: 23845076</w:t>
        </w:r>
      </w:hyperlink>
    </w:p>
    <w:p w:rsidR="007F7B15" w:rsidRDefault="005B6537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color w:val="000000"/>
          <w:highlight w:val="white"/>
        </w:rPr>
      </w:pPr>
      <w:r>
        <w:rPr>
          <w:rFonts w:ascii="Calibri" w:eastAsia="Calibri" w:hAnsi="Calibri" w:cs="Calibri"/>
          <w:color w:val="000000"/>
          <w:highlight w:val="white"/>
        </w:rPr>
        <w:t xml:space="preserve">4. </w:t>
      </w:r>
      <w:r>
        <w:rPr>
          <w:rFonts w:ascii="Calibri" w:eastAsia="Calibri" w:hAnsi="Calibri" w:cs="Calibri"/>
          <w:color w:val="000000"/>
          <w:highlight w:val="white"/>
        </w:rPr>
        <w:tab/>
      </w:r>
      <w:hyperlink r:id="rId11"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Correl</w:t>
        </w:r>
        <w:r>
          <w:rPr>
            <w:rFonts w:ascii="Calibri" w:eastAsia="Calibri" w:hAnsi="Calibri" w:cs="Calibri"/>
            <w:color w:val="000000"/>
            <w:highlight w:val="white"/>
          </w:rPr>
          <w:t>l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CU,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Detraux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J, De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Lepeleire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J, De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Hert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M. Effects of antipsychotics, antidepressants and mood stabilizers on risk for physical diseases in people with schizophrenia, depression and bipolar disorder. World Psychiatry. 2015 Jun;14(2):119–136. PMCID: PMC447</w:t>
        </w:r>
        <w:r>
          <w:rPr>
            <w:rFonts w:ascii="Calibri" w:eastAsia="Calibri" w:hAnsi="Calibri" w:cs="Calibri"/>
            <w:color w:val="000000"/>
            <w:highlight w:val="white"/>
          </w:rPr>
          <w:t>1960</w:t>
        </w:r>
      </w:hyperlink>
    </w:p>
    <w:p w:rsidR="007F7B15" w:rsidRDefault="005B6537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color w:val="000000"/>
          <w:highlight w:val="white"/>
        </w:rPr>
      </w:pPr>
      <w:r>
        <w:rPr>
          <w:rFonts w:ascii="Calibri" w:eastAsia="Calibri" w:hAnsi="Calibri" w:cs="Calibri"/>
          <w:color w:val="000000"/>
          <w:highlight w:val="white"/>
        </w:rPr>
        <w:t xml:space="preserve">5. </w:t>
      </w:r>
      <w:r>
        <w:rPr>
          <w:rFonts w:ascii="Calibri" w:eastAsia="Calibri" w:hAnsi="Calibri" w:cs="Calibri"/>
          <w:color w:val="000000"/>
          <w:highlight w:val="white"/>
        </w:rPr>
        <w:tab/>
      </w:r>
      <w:hyperlink r:id="rId12"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Fornaro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M, De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Berardis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D, Koshy AS,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Perna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G,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Valchera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A,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Vancampfort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D, Stubbs B. Prevalence and clinical features associated with bipolar disorder polypharmacy: a systematic review.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Neuropsyc</w:t>
        </w:r>
        <w:r>
          <w:rPr>
            <w:rFonts w:ascii="Calibri" w:eastAsia="Calibri" w:hAnsi="Calibri" w:cs="Calibri"/>
            <w:color w:val="000000"/>
            <w:highlight w:val="white"/>
          </w:rPr>
          <w:t>hiatr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Dis Treat. 2016 Mar </w:t>
        </w:r>
        <w:proofErr w:type="gramStart"/>
        <w:r>
          <w:rPr>
            <w:rFonts w:ascii="Calibri" w:eastAsia="Calibri" w:hAnsi="Calibri" w:cs="Calibri"/>
            <w:color w:val="000000"/>
            <w:highlight w:val="white"/>
          </w:rPr>
          <w:t>31;12:719</w:t>
        </w:r>
        <w:proofErr w:type="gramEnd"/>
        <w:r>
          <w:rPr>
            <w:rFonts w:ascii="Calibri" w:eastAsia="Calibri" w:hAnsi="Calibri" w:cs="Calibri"/>
            <w:color w:val="000000"/>
            <w:highlight w:val="white"/>
          </w:rPr>
          <w:t>–735. PMCID: PMC4820218</w:t>
        </w:r>
      </w:hyperlink>
    </w:p>
    <w:p w:rsidR="007F7B15" w:rsidRDefault="005B6537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highlight w:val="white"/>
        </w:rPr>
        <w:t xml:space="preserve">6. </w:t>
      </w:r>
      <w:r>
        <w:rPr>
          <w:rFonts w:ascii="Calibri" w:eastAsia="Calibri" w:hAnsi="Calibri" w:cs="Calibri"/>
          <w:color w:val="000000"/>
          <w:highlight w:val="white"/>
        </w:rPr>
        <w:tab/>
      </w:r>
      <w:hyperlink r:id="rId13">
        <w:r>
          <w:rPr>
            <w:rFonts w:ascii="Calibri" w:eastAsia="Calibri" w:hAnsi="Calibri" w:cs="Calibri"/>
            <w:color w:val="000000"/>
            <w:highlight w:val="white"/>
          </w:rPr>
          <w:t xml:space="preserve">Nestsiarovich A, Kerner B, Mazurie AJ, Cannon DC, Hurwitz NG, Zhu Y, Nelson SJ,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Oprea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 TI, Unruh ML, Crisanti AS, Tohen M, Perkins DJ, Lambert CG. Comparison of 71 bipolar disorder pharmacotherapies for kidney disorder risk: The potential hazards of polypha</w:t>
        </w:r>
        <w:r>
          <w:rPr>
            <w:rFonts w:ascii="Calibri" w:eastAsia="Calibri" w:hAnsi="Calibri" w:cs="Calibri"/>
            <w:color w:val="000000"/>
            <w:highlight w:val="white"/>
          </w:rPr>
          <w:t xml:space="preserve">rmacy. J Affect </w:t>
        </w:r>
        <w:proofErr w:type="spellStart"/>
        <w:r>
          <w:rPr>
            <w:rFonts w:ascii="Calibri" w:eastAsia="Calibri" w:hAnsi="Calibri" w:cs="Calibri"/>
            <w:color w:val="000000"/>
            <w:highlight w:val="white"/>
          </w:rPr>
          <w:t>Disord</w:t>
        </w:r>
        <w:proofErr w:type="spellEnd"/>
        <w:r>
          <w:rPr>
            <w:rFonts w:ascii="Calibri" w:eastAsia="Calibri" w:hAnsi="Calibri" w:cs="Calibri"/>
            <w:color w:val="000000"/>
            <w:highlight w:val="white"/>
          </w:rPr>
          <w:t xml:space="preserve">. 2019 Apr </w:t>
        </w:r>
        <w:proofErr w:type="gramStart"/>
        <w:r>
          <w:rPr>
            <w:rFonts w:ascii="Calibri" w:eastAsia="Calibri" w:hAnsi="Calibri" w:cs="Calibri"/>
            <w:color w:val="000000"/>
            <w:highlight w:val="white"/>
          </w:rPr>
          <w:t>8;252:201</w:t>
        </w:r>
        <w:proofErr w:type="gramEnd"/>
        <w:r>
          <w:rPr>
            <w:rFonts w:ascii="Calibri" w:eastAsia="Calibri" w:hAnsi="Calibri" w:cs="Calibri"/>
            <w:color w:val="000000"/>
            <w:highlight w:val="white"/>
          </w:rPr>
          <w:t>–211. PMID: 30986735</w:t>
        </w:r>
      </w:hyperlink>
    </w:p>
    <w:p w:rsidR="001D16E2" w:rsidRDefault="001D16E2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color w:val="000000"/>
        </w:rPr>
      </w:pPr>
    </w:p>
    <w:p w:rsidR="001D16E2" w:rsidRDefault="001D16E2" w:rsidP="005B653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446"/>
        <w:rPr>
          <w:rFonts w:ascii="Calibri" w:eastAsia="Calibri" w:hAnsi="Calibri" w:cs="Calibri"/>
          <w:i/>
          <w:iCs/>
          <w:lang w:val="en-US"/>
        </w:rPr>
      </w:pPr>
      <w:r w:rsidRPr="001D16E2">
        <w:rPr>
          <w:rFonts w:ascii="Calibri" w:eastAsia="Calibri" w:hAnsi="Calibri" w:cs="Calibri"/>
          <w:i/>
          <w:iCs/>
          <w:lang w:val="en-US"/>
        </w:rPr>
        <w:t>This work was supported by the P</w:t>
      </w:r>
      <w:bookmarkStart w:id="0" w:name="_GoBack"/>
      <w:bookmarkEnd w:id="0"/>
      <w:r w:rsidRPr="001D16E2">
        <w:rPr>
          <w:rFonts w:ascii="Calibri" w:eastAsia="Calibri" w:hAnsi="Calibri" w:cs="Calibri"/>
          <w:i/>
          <w:iCs/>
          <w:lang w:val="en-US"/>
        </w:rPr>
        <w:t xml:space="preserve">atient-Centered Outcomes Research Institute (PCORI) [award CER-1507-3160, 2016]. The views in this publication are solely the responsibility of the authors and do not necessarily represent the views of PCORI, its Board of Governors or Methodology Committee. </w:t>
      </w:r>
    </w:p>
    <w:p w:rsidR="001D16E2" w:rsidRDefault="001D16E2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i/>
          <w:iCs/>
          <w:lang w:val="en-US"/>
        </w:rPr>
      </w:pPr>
    </w:p>
    <w:p w:rsidR="001D16E2" w:rsidRDefault="001D16E2" w:rsidP="005B653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446"/>
        <w:rPr>
          <w:rFonts w:ascii="Calibri" w:eastAsia="Calibri" w:hAnsi="Calibri" w:cs="Calibri"/>
          <w:i/>
          <w:iCs/>
          <w:lang w:val="en-US"/>
        </w:rPr>
      </w:pPr>
      <w:r>
        <w:rPr>
          <w:rFonts w:ascii="Calibri" w:hAnsi="Calibri"/>
          <w:b/>
          <w:bCs/>
          <w:color w:val="000000"/>
        </w:rPr>
        <w:t xml:space="preserve">Competing interests statement. </w:t>
      </w:r>
      <w:r>
        <w:rPr>
          <w:rFonts w:ascii="Calibri" w:hAnsi="Calibri"/>
          <w:color w:val="000000"/>
        </w:rPr>
        <w:t xml:space="preserve">Dr. Tohen was a full-time employee at Lilly (1997 to 2008). He has received honoraria from or consulted for, Abbott, Actavis, AstraZeneca, Bristol Myers Squibb, GlaxoSmithKline, Lilly, Johnson &amp; Johnson, Otsuka, Merck, </w:t>
      </w:r>
      <w:proofErr w:type="spellStart"/>
      <w:r>
        <w:rPr>
          <w:rFonts w:ascii="Calibri" w:hAnsi="Calibri"/>
          <w:color w:val="000000"/>
        </w:rPr>
        <w:t>Sunovion</w:t>
      </w:r>
      <w:proofErr w:type="spellEnd"/>
      <w:r>
        <w:rPr>
          <w:rFonts w:ascii="Calibri" w:hAnsi="Calibri"/>
          <w:color w:val="000000"/>
        </w:rPr>
        <w:t xml:space="preserve">, Forest, </w:t>
      </w:r>
      <w:proofErr w:type="spellStart"/>
      <w:r>
        <w:rPr>
          <w:rFonts w:ascii="Calibri" w:hAnsi="Calibri"/>
          <w:color w:val="000000"/>
        </w:rPr>
        <w:t>Gedeon</w:t>
      </w:r>
      <w:proofErr w:type="spellEnd"/>
      <w:r>
        <w:rPr>
          <w:rFonts w:ascii="Calibri" w:hAnsi="Calibri"/>
          <w:color w:val="000000"/>
        </w:rPr>
        <w:t xml:space="preserve"> Richter, Roche, Elan, </w:t>
      </w:r>
      <w:proofErr w:type="spellStart"/>
      <w:r>
        <w:rPr>
          <w:rFonts w:ascii="Calibri" w:hAnsi="Calibri"/>
          <w:color w:val="000000"/>
        </w:rPr>
        <w:t>Alkermes</w:t>
      </w:r>
      <w:proofErr w:type="spellEnd"/>
      <w:r>
        <w:rPr>
          <w:rFonts w:ascii="Calibri" w:hAnsi="Calibri"/>
          <w:color w:val="000000"/>
        </w:rPr>
        <w:t xml:space="preserve">, Allergan, </w:t>
      </w:r>
      <w:proofErr w:type="spellStart"/>
      <w:r>
        <w:rPr>
          <w:rFonts w:ascii="Calibri" w:hAnsi="Calibri"/>
          <w:color w:val="000000"/>
        </w:rPr>
        <w:t>Lundbeck</w:t>
      </w:r>
      <w:proofErr w:type="spellEnd"/>
      <w:r>
        <w:rPr>
          <w:rFonts w:ascii="Calibri" w:hAnsi="Calibri"/>
          <w:color w:val="000000"/>
        </w:rPr>
        <w:t xml:space="preserve">, </w:t>
      </w:r>
      <w:proofErr w:type="spellStart"/>
      <w:r>
        <w:rPr>
          <w:rFonts w:ascii="Calibri" w:hAnsi="Calibri"/>
          <w:color w:val="000000"/>
        </w:rPr>
        <w:t>Teva</w:t>
      </w:r>
      <w:proofErr w:type="spellEnd"/>
      <w:r>
        <w:rPr>
          <w:rFonts w:ascii="Calibri" w:hAnsi="Calibri"/>
          <w:color w:val="000000"/>
        </w:rPr>
        <w:t xml:space="preserve">, </w:t>
      </w:r>
      <w:proofErr w:type="spellStart"/>
      <w:r>
        <w:rPr>
          <w:rFonts w:ascii="Calibri" w:hAnsi="Calibri"/>
          <w:color w:val="000000"/>
        </w:rPr>
        <w:t>Pamlab</w:t>
      </w:r>
      <w:proofErr w:type="spellEnd"/>
      <w:r>
        <w:rPr>
          <w:rFonts w:ascii="Calibri" w:hAnsi="Calibri"/>
          <w:color w:val="000000"/>
        </w:rPr>
        <w:t xml:space="preserve">, Wyeth and Wiley Publishing. His spouse was a full-time employee at Lilly (1998-2013). Drs. Nestsiarovich, Mazurie, Kerner, Zhu, Nelson, Crisanti, Perkins, and Lambert have no conflicts of interest to disclose. Dr. </w:t>
      </w:r>
      <w:proofErr w:type="spellStart"/>
      <w:r>
        <w:rPr>
          <w:rFonts w:ascii="Calibri" w:hAnsi="Calibri"/>
          <w:color w:val="000000"/>
        </w:rPr>
        <w:t>Oprea</w:t>
      </w:r>
      <w:proofErr w:type="spellEnd"/>
      <w:r>
        <w:rPr>
          <w:rFonts w:ascii="Calibri" w:hAnsi="Calibri"/>
          <w:color w:val="000000"/>
        </w:rPr>
        <w:t xml:space="preserve"> was a former full-time employee at AstraZeneca (1996-2002). He has received honoraria or consulted for, Abbott, AstraZeneca, Chiron, Genentech, Infinity Pharmaceuticals, </w:t>
      </w:r>
      <w:proofErr w:type="spellStart"/>
      <w:r>
        <w:rPr>
          <w:rFonts w:ascii="Calibri" w:hAnsi="Calibri"/>
          <w:color w:val="000000"/>
        </w:rPr>
        <w:t>Merz</w:t>
      </w:r>
      <w:proofErr w:type="spellEnd"/>
      <w:r>
        <w:rPr>
          <w:rFonts w:ascii="Calibri" w:hAnsi="Calibri"/>
          <w:color w:val="000000"/>
        </w:rPr>
        <w:t xml:space="preserve"> Pharmaceuticals, Merck Darmstadt, Mitsubishi Tanabe, Novartis, Ono Pharmaceuticals, Pfizer, Roche, Sanofi, and Wyeth. His spouse was a full-time employee of AstraZeneca (2002-2014) and is a full-time employee of Genentech Inc.</w:t>
      </w:r>
    </w:p>
    <w:p w:rsidR="001D16E2" w:rsidRDefault="001D16E2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i/>
          <w:iCs/>
          <w:lang w:val="en-US"/>
        </w:rPr>
      </w:pPr>
    </w:p>
    <w:p w:rsidR="001D16E2" w:rsidRPr="001D16E2" w:rsidRDefault="001D16E2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lang w:val="en-US"/>
        </w:rPr>
      </w:pPr>
    </w:p>
    <w:p w:rsidR="001D16E2" w:rsidRPr="001D16E2" w:rsidRDefault="001D16E2" w:rsidP="001D16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40" w:hanging="440"/>
        <w:rPr>
          <w:rFonts w:ascii="Calibri" w:eastAsia="Calibri" w:hAnsi="Calibri" w:cs="Calibri"/>
          <w:lang w:val="en-US"/>
        </w:rPr>
      </w:pPr>
      <w:r>
        <w:rPr>
          <w:noProof/>
          <w:lang w:val="en-US"/>
        </w:rPr>
        <w:drawing>
          <wp:inline distT="0" distB="0" distL="0" distR="0" wp14:anchorId="3E612F78" wp14:editId="517D1830">
            <wp:extent cx="1111910" cy="111191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3523" cy="1113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16E2" w:rsidRPr="001D16E2">
      <w:pgSz w:w="12240" w:h="15840"/>
      <w:pgMar w:top="1080" w:right="1080" w:bottom="1080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D2C25"/>
    <w:multiLevelType w:val="hybridMultilevel"/>
    <w:tmpl w:val="7FE4C8DE"/>
    <w:lvl w:ilvl="0" w:tplc="60B095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822E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ECE1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8E47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06F7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221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CED9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888E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8CC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A9877D3"/>
    <w:multiLevelType w:val="hybridMultilevel"/>
    <w:tmpl w:val="46A6BA6A"/>
    <w:lvl w:ilvl="0" w:tplc="28BC0E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66E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F878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8E84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2E1C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DE5D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F413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4430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6233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44419A1"/>
    <w:multiLevelType w:val="hybridMultilevel"/>
    <w:tmpl w:val="D22ECB82"/>
    <w:lvl w:ilvl="0" w:tplc="DD6ADA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88CC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CEBC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10AA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BA08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523A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B4D0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E8E9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4864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5290A3C"/>
    <w:multiLevelType w:val="hybridMultilevel"/>
    <w:tmpl w:val="9154E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B15"/>
    <w:rsid w:val="001D16E2"/>
    <w:rsid w:val="005B6537"/>
    <w:rsid w:val="006430AB"/>
    <w:rsid w:val="007F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C1F5F"/>
  <w15:docId w15:val="{9754C21E-13FE-442B-A485-8339D58E5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6430A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430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5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4924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974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129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3008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937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6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1946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043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1805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4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712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9574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377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737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863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856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383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620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9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332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7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8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perpile.com/b/6bnByL/MXld0" TargetMode="External"/><Relationship Id="rId13" Type="http://schemas.openxmlformats.org/officeDocument/2006/relationships/hyperlink" Target="http://paperpile.com/b/6bnByL/yyK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12" Type="http://schemas.openxmlformats.org/officeDocument/2006/relationships/hyperlink" Target="http://paperpile.com/b/6bnByL/JV8UJ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paperpile.com/b/6bnByL/M7Y9F" TargetMode="External"/><Relationship Id="rId5" Type="http://schemas.openxmlformats.org/officeDocument/2006/relationships/hyperlink" Target="https://gitlab.com/PCORIUNMPUBLIC/diabetes_public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paperpile.com/b/6bnByL/74b2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aperpile.com/b/6bnByL/BImL0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1500</Words>
  <Characters>8553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anastasiya</cp:lastModifiedBy>
  <cp:revision>3</cp:revision>
  <dcterms:created xsi:type="dcterms:W3CDTF">2019-09-10T16:46:00Z</dcterms:created>
  <dcterms:modified xsi:type="dcterms:W3CDTF">2019-09-10T16:57:00Z</dcterms:modified>
</cp:coreProperties>
</file>