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C85C368" w14:textId="77777777" w:rsidR="00257053" w:rsidRDefault="00257053">
      <w:pPr>
        <w:rPr>
          <w:sz w:val="24"/>
          <w:szCs w:val="24"/>
        </w:rPr>
      </w:pPr>
      <w:bookmarkStart w:id="0" w:name="_gjdgxs" w:colFirst="0" w:colLast="0"/>
      <w:bookmarkEnd w:id="0"/>
    </w:p>
    <w:p w14:paraId="15F5A8BF" w14:textId="77777777" w:rsidR="00257053" w:rsidRDefault="00257053">
      <w:pPr>
        <w:rPr>
          <w:rFonts w:ascii="Calibri" w:eastAsia="Calibri" w:hAnsi="Calibri" w:cs="Calibri"/>
          <w:sz w:val="24"/>
          <w:szCs w:val="24"/>
        </w:rPr>
      </w:pPr>
      <w:bookmarkStart w:id="1" w:name="_dux54graw7pq" w:colFirst="0" w:colLast="0"/>
      <w:bookmarkStart w:id="2" w:name="_7ena4w3yht0j" w:colFirst="0" w:colLast="0"/>
      <w:bookmarkEnd w:id="1"/>
      <w:bookmarkEnd w:id="2"/>
    </w:p>
    <w:p w14:paraId="0C576D00" w14:textId="77777777" w:rsidR="00257053" w:rsidRDefault="00257053">
      <w:pPr>
        <w:pBdr>
          <w:top w:val="nil"/>
          <w:left w:val="nil"/>
          <w:bottom w:val="nil"/>
          <w:right w:val="nil"/>
          <w:between w:val="nil"/>
        </w:pBdr>
        <w:spacing w:after="280"/>
        <w:jc w:val="center"/>
        <w:rPr>
          <w:rFonts w:ascii="Calibri" w:eastAsia="Calibri" w:hAnsi="Calibri" w:cs="Calibri"/>
          <w:b/>
          <w:sz w:val="28"/>
          <w:szCs w:val="28"/>
        </w:rPr>
      </w:pPr>
      <w:bookmarkStart w:id="3" w:name="_lz1h5qku000e" w:colFirst="0" w:colLast="0"/>
      <w:bookmarkEnd w:id="3"/>
    </w:p>
    <w:p w14:paraId="10FD42AA" w14:textId="77777777" w:rsidR="00257053" w:rsidRDefault="00257053">
      <w:pPr>
        <w:pBdr>
          <w:top w:val="nil"/>
          <w:left w:val="nil"/>
          <w:bottom w:val="nil"/>
          <w:right w:val="nil"/>
          <w:between w:val="nil"/>
        </w:pBdr>
        <w:spacing w:after="280"/>
        <w:jc w:val="center"/>
        <w:rPr>
          <w:rFonts w:ascii="Calibri" w:eastAsia="Calibri" w:hAnsi="Calibri" w:cs="Calibri"/>
          <w:b/>
          <w:sz w:val="28"/>
          <w:szCs w:val="28"/>
        </w:rPr>
      </w:pPr>
      <w:bookmarkStart w:id="4" w:name="_frhgg8klmgib" w:colFirst="0" w:colLast="0"/>
      <w:bookmarkEnd w:id="4"/>
    </w:p>
    <w:p w14:paraId="5EF326EF" w14:textId="77777777" w:rsidR="00257053" w:rsidRDefault="00257053">
      <w:pPr>
        <w:pBdr>
          <w:top w:val="nil"/>
          <w:left w:val="nil"/>
          <w:bottom w:val="nil"/>
          <w:right w:val="nil"/>
          <w:between w:val="nil"/>
        </w:pBdr>
        <w:spacing w:after="280"/>
        <w:jc w:val="center"/>
        <w:rPr>
          <w:rFonts w:ascii="Calibri" w:eastAsia="Calibri" w:hAnsi="Calibri" w:cs="Calibri"/>
          <w:b/>
          <w:sz w:val="28"/>
          <w:szCs w:val="28"/>
        </w:rPr>
      </w:pPr>
      <w:bookmarkStart w:id="5" w:name="_lugm3rk3c91r" w:colFirst="0" w:colLast="0"/>
      <w:bookmarkEnd w:id="5"/>
    </w:p>
    <w:p w14:paraId="31297AFD" w14:textId="77777777" w:rsidR="00257053" w:rsidRDefault="00257053">
      <w:pPr>
        <w:pBdr>
          <w:top w:val="nil"/>
          <w:left w:val="nil"/>
          <w:bottom w:val="nil"/>
          <w:right w:val="nil"/>
          <w:between w:val="nil"/>
        </w:pBdr>
        <w:spacing w:after="280"/>
        <w:jc w:val="center"/>
        <w:rPr>
          <w:rFonts w:ascii="Calibri" w:eastAsia="Calibri" w:hAnsi="Calibri" w:cs="Calibri"/>
          <w:b/>
          <w:sz w:val="28"/>
          <w:szCs w:val="28"/>
        </w:rPr>
      </w:pPr>
      <w:bookmarkStart w:id="6" w:name="_k3w2r7s2gwh6" w:colFirst="0" w:colLast="0"/>
      <w:bookmarkEnd w:id="6"/>
    </w:p>
    <w:p w14:paraId="1F5FFF6C" w14:textId="77777777" w:rsidR="00257053" w:rsidRDefault="00257053">
      <w:pPr>
        <w:pBdr>
          <w:top w:val="nil"/>
          <w:left w:val="nil"/>
          <w:bottom w:val="nil"/>
          <w:right w:val="nil"/>
          <w:between w:val="nil"/>
        </w:pBdr>
        <w:spacing w:after="280"/>
        <w:rPr>
          <w:rFonts w:ascii="Calibri" w:eastAsia="Calibri" w:hAnsi="Calibri" w:cs="Calibri"/>
          <w:b/>
          <w:sz w:val="28"/>
          <w:szCs w:val="28"/>
        </w:rPr>
      </w:pPr>
      <w:bookmarkStart w:id="7" w:name="_nm8nvup3t64j" w:colFirst="0" w:colLast="0"/>
      <w:bookmarkEnd w:id="7"/>
    </w:p>
    <w:p w14:paraId="40D69EF6" w14:textId="456E18C5" w:rsidR="00257053" w:rsidRDefault="0018098C">
      <w:pPr>
        <w:pBdr>
          <w:top w:val="nil"/>
          <w:left w:val="nil"/>
          <w:bottom w:val="nil"/>
          <w:right w:val="nil"/>
          <w:between w:val="nil"/>
        </w:pBdr>
        <w:spacing w:after="280"/>
        <w:jc w:val="center"/>
        <w:rPr>
          <w:rFonts w:ascii="Calibri" w:eastAsia="Calibri" w:hAnsi="Calibri" w:cs="Calibri"/>
          <w:b/>
          <w:sz w:val="22"/>
          <w:szCs w:val="22"/>
          <w:vertAlign w:val="superscript"/>
        </w:rPr>
      </w:pPr>
      <w:bookmarkStart w:id="8" w:name="_2cnojo5tmkc3" w:colFirst="0" w:colLast="0"/>
      <w:bookmarkEnd w:id="8"/>
      <w:r>
        <w:rPr>
          <w:rFonts w:ascii="Calibri" w:eastAsia="Calibri" w:hAnsi="Calibri" w:cs="Calibri"/>
          <w:b/>
          <w:color w:val="000000"/>
          <w:sz w:val="28"/>
          <w:szCs w:val="28"/>
        </w:rPr>
        <w:t>Distributed Learning from Electronic Health Records Across Multiple Sites for Zero-Inflated Count Outcomes</w:t>
      </w:r>
    </w:p>
    <w:p w14:paraId="049D1D36" w14:textId="2D816564" w:rsidR="00257053" w:rsidRDefault="0018098C">
      <w:pPr>
        <w:pBdr>
          <w:top w:val="nil"/>
          <w:left w:val="nil"/>
          <w:bottom w:val="nil"/>
          <w:right w:val="nil"/>
          <w:between w:val="nil"/>
        </w:pBdr>
        <w:jc w:val="center"/>
        <w:rPr>
          <w:rFonts w:ascii="Calibri" w:eastAsia="Calibri" w:hAnsi="Calibri" w:cs="Calibri"/>
          <w:b/>
          <w:color w:val="000000"/>
          <w:sz w:val="22"/>
          <w:szCs w:val="22"/>
          <w:vertAlign w:val="superscript"/>
        </w:rPr>
      </w:pPr>
      <w:r>
        <w:rPr>
          <w:rFonts w:ascii="Calibri" w:eastAsia="Calibri" w:hAnsi="Calibri" w:cs="Calibri"/>
          <w:b/>
          <w:color w:val="000000"/>
          <w:sz w:val="22"/>
          <w:szCs w:val="22"/>
        </w:rPr>
        <w:t>Mackenzie J. Edmondson</w:t>
      </w:r>
      <w:r w:rsidR="00A42246">
        <w:rPr>
          <w:rFonts w:ascii="Calibri" w:eastAsia="Calibri" w:hAnsi="Calibri" w:cs="Calibri"/>
          <w:b/>
          <w:color w:val="000000"/>
          <w:sz w:val="22"/>
          <w:szCs w:val="22"/>
        </w:rPr>
        <w:t xml:space="preserve">, </w:t>
      </w:r>
      <w:r>
        <w:rPr>
          <w:rFonts w:ascii="Calibri" w:eastAsia="Calibri" w:hAnsi="Calibri" w:cs="Calibri"/>
          <w:b/>
          <w:color w:val="000000"/>
          <w:sz w:val="22"/>
          <w:szCs w:val="22"/>
        </w:rPr>
        <w:t>MS</w:t>
      </w:r>
      <w:r w:rsidR="00A42246">
        <w:rPr>
          <w:rFonts w:ascii="Calibri" w:eastAsia="Calibri" w:hAnsi="Calibri" w:cs="Calibri"/>
          <w:b/>
          <w:color w:val="000000"/>
          <w:sz w:val="22"/>
          <w:szCs w:val="22"/>
          <w:vertAlign w:val="superscript"/>
        </w:rPr>
        <w:t>1</w:t>
      </w:r>
      <w:r w:rsidR="00A42246">
        <w:rPr>
          <w:rFonts w:ascii="Calibri" w:eastAsia="Calibri" w:hAnsi="Calibri" w:cs="Calibri"/>
          <w:b/>
          <w:color w:val="000000"/>
          <w:sz w:val="22"/>
          <w:szCs w:val="22"/>
        </w:rPr>
        <w:t xml:space="preserve">, </w:t>
      </w:r>
      <w:proofErr w:type="spellStart"/>
      <w:r>
        <w:rPr>
          <w:rFonts w:ascii="Calibri" w:eastAsia="Calibri" w:hAnsi="Calibri" w:cs="Calibri"/>
          <w:b/>
          <w:color w:val="000000"/>
          <w:sz w:val="22"/>
          <w:szCs w:val="22"/>
        </w:rPr>
        <w:t>Chongliang</w:t>
      </w:r>
      <w:proofErr w:type="spellEnd"/>
      <w:r>
        <w:rPr>
          <w:rFonts w:ascii="Calibri" w:eastAsia="Calibri" w:hAnsi="Calibri" w:cs="Calibri"/>
          <w:b/>
          <w:color w:val="000000"/>
          <w:sz w:val="22"/>
          <w:szCs w:val="22"/>
        </w:rPr>
        <w:t xml:space="preserve"> Luo</w:t>
      </w:r>
      <w:r w:rsidR="00A42246">
        <w:rPr>
          <w:rFonts w:ascii="Calibri" w:eastAsia="Calibri" w:hAnsi="Calibri" w:cs="Calibri"/>
          <w:b/>
          <w:color w:val="000000"/>
          <w:sz w:val="22"/>
          <w:szCs w:val="22"/>
        </w:rPr>
        <w:t xml:space="preserve">, </w:t>
      </w:r>
      <w:r>
        <w:rPr>
          <w:rFonts w:ascii="Calibri" w:eastAsia="Calibri" w:hAnsi="Calibri" w:cs="Calibri"/>
          <w:b/>
          <w:color w:val="000000"/>
          <w:sz w:val="22"/>
          <w:szCs w:val="22"/>
        </w:rPr>
        <w:t>PhD</w:t>
      </w:r>
      <w:r>
        <w:rPr>
          <w:rFonts w:ascii="Calibri" w:eastAsia="Calibri" w:hAnsi="Calibri" w:cs="Calibri"/>
          <w:b/>
          <w:color w:val="000000"/>
          <w:sz w:val="22"/>
          <w:szCs w:val="22"/>
          <w:vertAlign w:val="superscript"/>
        </w:rPr>
        <w:t>1</w:t>
      </w:r>
      <w:r>
        <w:rPr>
          <w:rFonts w:ascii="Calibri" w:eastAsia="Calibri" w:hAnsi="Calibri" w:cs="Calibri"/>
          <w:b/>
          <w:color w:val="000000"/>
          <w:sz w:val="22"/>
          <w:szCs w:val="22"/>
        </w:rPr>
        <w:t>, Rui Duan, PhD</w:t>
      </w:r>
      <w:r>
        <w:rPr>
          <w:rFonts w:ascii="Calibri" w:eastAsia="Calibri" w:hAnsi="Calibri" w:cs="Calibri"/>
          <w:b/>
          <w:color w:val="000000"/>
          <w:sz w:val="22"/>
          <w:szCs w:val="22"/>
          <w:vertAlign w:val="superscript"/>
        </w:rPr>
        <w:t>2</w:t>
      </w:r>
      <w:r>
        <w:rPr>
          <w:rFonts w:ascii="Calibri" w:eastAsia="Calibri" w:hAnsi="Calibri" w:cs="Calibri"/>
          <w:b/>
          <w:color w:val="000000"/>
          <w:sz w:val="22"/>
          <w:szCs w:val="22"/>
          <w:vertAlign w:val="subscript"/>
        </w:rPr>
        <w:t>,</w:t>
      </w:r>
      <w:r>
        <w:rPr>
          <w:rFonts w:ascii="Calibri" w:eastAsia="Calibri" w:hAnsi="Calibri" w:cs="Calibri"/>
          <w:b/>
          <w:color w:val="000000"/>
          <w:sz w:val="22"/>
          <w:szCs w:val="22"/>
        </w:rPr>
        <w:t xml:space="preserve"> Mitchell </w:t>
      </w:r>
      <w:proofErr w:type="spellStart"/>
      <w:r>
        <w:rPr>
          <w:rFonts w:ascii="Calibri" w:eastAsia="Calibri" w:hAnsi="Calibri" w:cs="Calibri"/>
          <w:b/>
          <w:color w:val="000000"/>
          <w:sz w:val="22"/>
          <w:szCs w:val="22"/>
        </w:rPr>
        <w:t>Maltenfort</w:t>
      </w:r>
      <w:proofErr w:type="spellEnd"/>
      <w:r>
        <w:rPr>
          <w:rFonts w:ascii="Calibri" w:eastAsia="Calibri" w:hAnsi="Calibri" w:cs="Calibri"/>
          <w:b/>
          <w:color w:val="000000"/>
          <w:sz w:val="22"/>
          <w:szCs w:val="22"/>
        </w:rPr>
        <w:t>, PhD</w:t>
      </w:r>
      <w:r>
        <w:rPr>
          <w:rFonts w:ascii="Calibri" w:eastAsia="Calibri" w:hAnsi="Calibri" w:cs="Calibri"/>
          <w:b/>
          <w:color w:val="000000"/>
          <w:sz w:val="22"/>
          <w:szCs w:val="22"/>
          <w:vertAlign w:val="superscript"/>
        </w:rPr>
        <w:t>3</w:t>
      </w:r>
      <w:r>
        <w:rPr>
          <w:rFonts w:ascii="Calibri" w:eastAsia="Calibri" w:hAnsi="Calibri" w:cs="Calibri"/>
          <w:b/>
          <w:color w:val="000000"/>
          <w:sz w:val="22"/>
          <w:szCs w:val="22"/>
        </w:rPr>
        <w:t>, Justine Shults, PhD</w:t>
      </w:r>
      <w:r>
        <w:rPr>
          <w:rFonts w:ascii="Calibri" w:eastAsia="Calibri" w:hAnsi="Calibri" w:cs="Calibri"/>
          <w:b/>
          <w:color w:val="000000"/>
          <w:sz w:val="22"/>
          <w:szCs w:val="22"/>
          <w:vertAlign w:val="superscript"/>
        </w:rPr>
        <w:t>1</w:t>
      </w:r>
      <w:r>
        <w:rPr>
          <w:rFonts w:ascii="Calibri" w:eastAsia="Calibri" w:hAnsi="Calibri" w:cs="Calibri"/>
          <w:b/>
          <w:color w:val="000000"/>
          <w:sz w:val="22"/>
          <w:szCs w:val="22"/>
        </w:rPr>
        <w:t>, Patrick B. Ryan, PhD</w:t>
      </w:r>
      <w:r>
        <w:rPr>
          <w:rFonts w:ascii="Calibri" w:eastAsia="Calibri" w:hAnsi="Calibri" w:cs="Calibri"/>
          <w:b/>
          <w:color w:val="000000"/>
          <w:sz w:val="22"/>
          <w:szCs w:val="22"/>
          <w:vertAlign w:val="superscript"/>
        </w:rPr>
        <w:t>4</w:t>
      </w:r>
      <w:r>
        <w:rPr>
          <w:rFonts w:ascii="Calibri" w:eastAsia="Calibri" w:hAnsi="Calibri" w:cs="Calibri"/>
          <w:b/>
          <w:color w:val="000000"/>
          <w:sz w:val="22"/>
          <w:szCs w:val="22"/>
        </w:rPr>
        <w:t>, Christopher B. Forrest, MD, PhD</w:t>
      </w:r>
      <w:r>
        <w:rPr>
          <w:rFonts w:ascii="Calibri" w:eastAsia="Calibri" w:hAnsi="Calibri" w:cs="Calibri"/>
          <w:b/>
          <w:color w:val="000000"/>
          <w:sz w:val="22"/>
          <w:szCs w:val="22"/>
          <w:vertAlign w:val="superscript"/>
        </w:rPr>
        <w:t>3</w:t>
      </w:r>
      <w:r>
        <w:rPr>
          <w:rFonts w:ascii="Calibri" w:eastAsia="Calibri" w:hAnsi="Calibri" w:cs="Calibri"/>
          <w:b/>
          <w:color w:val="000000"/>
          <w:sz w:val="22"/>
          <w:szCs w:val="22"/>
        </w:rPr>
        <w:t>, Yong Chen, PhD</w:t>
      </w:r>
      <w:r>
        <w:rPr>
          <w:rFonts w:ascii="Calibri" w:eastAsia="Calibri" w:hAnsi="Calibri" w:cs="Calibri"/>
          <w:b/>
          <w:color w:val="000000"/>
          <w:sz w:val="22"/>
          <w:szCs w:val="22"/>
          <w:vertAlign w:val="superscript"/>
        </w:rPr>
        <w:t>1</w:t>
      </w:r>
    </w:p>
    <w:p w14:paraId="581B7003" w14:textId="77777777" w:rsidR="0018098C" w:rsidRPr="0018098C" w:rsidRDefault="0018098C">
      <w:pPr>
        <w:pBdr>
          <w:top w:val="nil"/>
          <w:left w:val="nil"/>
          <w:bottom w:val="nil"/>
          <w:right w:val="nil"/>
          <w:between w:val="nil"/>
        </w:pBdr>
        <w:jc w:val="center"/>
        <w:rPr>
          <w:rFonts w:ascii="Calibri" w:eastAsia="Calibri" w:hAnsi="Calibri" w:cs="Calibri"/>
          <w:b/>
          <w:color w:val="000000"/>
          <w:sz w:val="22"/>
          <w:szCs w:val="22"/>
          <w:vertAlign w:val="superscript"/>
        </w:rPr>
      </w:pPr>
    </w:p>
    <w:p w14:paraId="036F6F8C" w14:textId="00CBFAC6" w:rsidR="0018098C" w:rsidRPr="0018098C" w:rsidRDefault="0018098C" w:rsidP="0018098C">
      <w:pPr>
        <w:pStyle w:val="ListParagraph"/>
        <w:rPr>
          <w:rFonts w:asciiTheme="majorHAnsi" w:eastAsia="Times New Roman" w:hAnsiTheme="majorHAnsi" w:cstheme="majorHAnsi"/>
          <w:b/>
          <w:color w:val="000000"/>
          <w:sz w:val="22"/>
          <w:szCs w:val="22"/>
        </w:rPr>
      </w:pPr>
      <w:r w:rsidRPr="0018098C">
        <w:rPr>
          <w:rFonts w:asciiTheme="majorHAnsi" w:hAnsiTheme="majorHAnsi" w:cstheme="majorHAnsi"/>
          <w:b/>
          <w:bCs/>
          <w:sz w:val="22"/>
          <w:szCs w:val="22"/>
          <w:vertAlign w:val="superscript"/>
        </w:rPr>
        <w:t>1</w:t>
      </w:r>
      <w:r w:rsidRPr="0018098C">
        <w:rPr>
          <w:rFonts w:asciiTheme="majorHAnsi" w:hAnsiTheme="majorHAnsi" w:cstheme="majorHAnsi"/>
          <w:b/>
          <w:bCs/>
          <w:sz w:val="22"/>
          <w:szCs w:val="22"/>
        </w:rPr>
        <w:t>Department of Biostatistics, Epidemiology, and Informatics, University of Pennsylvania Perelman School of Medicine, Philadelphia, PA, USA</w:t>
      </w:r>
      <w:r w:rsidR="00A42246" w:rsidRPr="0018098C">
        <w:rPr>
          <w:rFonts w:ascii="Calibri" w:eastAsia="Calibri" w:hAnsi="Calibri" w:cs="Calibri"/>
          <w:b/>
          <w:color w:val="000000"/>
          <w:sz w:val="22"/>
          <w:szCs w:val="22"/>
        </w:rPr>
        <w:t xml:space="preserve">; </w:t>
      </w:r>
      <w:r w:rsidR="00A42246" w:rsidRPr="0018098C">
        <w:rPr>
          <w:rFonts w:ascii="Calibri" w:eastAsia="Calibri" w:hAnsi="Calibri" w:cs="Calibri"/>
          <w:b/>
          <w:color w:val="000000"/>
          <w:sz w:val="22"/>
          <w:szCs w:val="22"/>
          <w:vertAlign w:val="superscript"/>
        </w:rPr>
        <w:t>2</w:t>
      </w:r>
      <w:r w:rsidRPr="0018098C">
        <w:rPr>
          <w:rFonts w:ascii="Calibri" w:eastAsia="Calibri" w:hAnsi="Calibri" w:cs="Calibri"/>
          <w:b/>
          <w:color w:val="000000"/>
          <w:sz w:val="22"/>
          <w:szCs w:val="22"/>
        </w:rPr>
        <w:t>Department of Biostatistics</w:t>
      </w:r>
      <w:r w:rsidR="00A42246" w:rsidRPr="0018098C">
        <w:rPr>
          <w:rFonts w:ascii="Calibri" w:eastAsia="Calibri" w:hAnsi="Calibri" w:cs="Calibri"/>
          <w:b/>
          <w:color w:val="000000"/>
          <w:sz w:val="22"/>
          <w:szCs w:val="22"/>
        </w:rPr>
        <w:t>,</w:t>
      </w:r>
      <w:r w:rsidRPr="0018098C">
        <w:rPr>
          <w:rFonts w:ascii="Calibri" w:eastAsia="Calibri" w:hAnsi="Calibri" w:cs="Calibri"/>
          <w:b/>
          <w:color w:val="000000"/>
          <w:sz w:val="22"/>
          <w:szCs w:val="22"/>
        </w:rPr>
        <w:t xml:space="preserve"> Harvard T.H. Chan School of Public Health,</w:t>
      </w:r>
      <w:r w:rsidR="00A42246" w:rsidRPr="0018098C">
        <w:rPr>
          <w:rFonts w:ascii="Calibri" w:eastAsia="Calibri" w:hAnsi="Calibri" w:cs="Calibri"/>
          <w:b/>
          <w:color w:val="000000"/>
          <w:sz w:val="22"/>
          <w:szCs w:val="22"/>
        </w:rPr>
        <w:t xml:space="preserve"> </w:t>
      </w:r>
      <w:r w:rsidRPr="0018098C">
        <w:rPr>
          <w:rFonts w:ascii="Calibri" w:eastAsia="Calibri" w:hAnsi="Calibri" w:cs="Calibri"/>
          <w:b/>
          <w:color w:val="000000"/>
          <w:sz w:val="22"/>
          <w:szCs w:val="22"/>
        </w:rPr>
        <w:t>Boston</w:t>
      </w:r>
      <w:r w:rsidR="00A42246" w:rsidRPr="0018098C">
        <w:rPr>
          <w:rFonts w:ascii="Calibri" w:eastAsia="Calibri" w:hAnsi="Calibri" w:cs="Calibri"/>
          <w:b/>
          <w:color w:val="000000"/>
          <w:sz w:val="22"/>
          <w:szCs w:val="22"/>
        </w:rPr>
        <w:t xml:space="preserve">, </w:t>
      </w:r>
      <w:r w:rsidRPr="0018098C">
        <w:rPr>
          <w:rFonts w:ascii="Calibri" w:eastAsia="Calibri" w:hAnsi="Calibri" w:cs="Calibri"/>
          <w:b/>
          <w:color w:val="000000"/>
          <w:sz w:val="22"/>
          <w:szCs w:val="22"/>
        </w:rPr>
        <w:t>MA</w:t>
      </w:r>
      <w:r w:rsidR="00A42246" w:rsidRPr="0018098C">
        <w:rPr>
          <w:rFonts w:ascii="Calibri" w:eastAsia="Calibri" w:hAnsi="Calibri" w:cs="Calibri"/>
          <w:b/>
          <w:color w:val="000000"/>
          <w:sz w:val="22"/>
          <w:szCs w:val="22"/>
        </w:rPr>
        <w:t xml:space="preserve">, </w:t>
      </w:r>
      <w:r w:rsidRPr="0018098C">
        <w:rPr>
          <w:rFonts w:ascii="Calibri" w:eastAsia="Calibri" w:hAnsi="Calibri" w:cs="Calibri"/>
          <w:b/>
          <w:color w:val="000000"/>
          <w:sz w:val="22"/>
          <w:szCs w:val="22"/>
        </w:rPr>
        <w:t xml:space="preserve">USA; </w:t>
      </w:r>
      <w:r w:rsidRPr="0018098C">
        <w:rPr>
          <w:rFonts w:asciiTheme="majorHAnsi" w:eastAsia="Calibri" w:hAnsiTheme="majorHAnsi" w:cstheme="majorHAnsi"/>
          <w:b/>
          <w:color w:val="000000"/>
          <w:sz w:val="22"/>
          <w:szCs w:val="22"/>
          <w:vertAlign w:val="superscript"/>
        </w:rPr>
        <w:t>3</w:t>
      </w:r>
      <w:r w:rsidRPr="0018098C">
        <w:rPr>
          <w:rFonts w:asciiTheme="majorHAnsi" w:eastAsia="Times New Roman" w:hAnsiTheme="majorHAnsi" w:cstheme="majorHAnsi"/>
          <w:b/>
          <w:color w:val="000000"/>
          <w:sz w:val="22"/>
          <w:szCs w:val="22"/>
        </w:rPr>
        <w:t xml:space="preserve">Department of Pediatrics, Children’s Hospital of Philadelphia, Philadelphia, PA, USA; </w:t>
      </w:r>
      <w:r w:rsidRPr="0018098C">
        <w:rPr>
          <w:rFonts w:asciiTheme="majorHAnsi" w:eastAsia="Times New Roman" w:hAnsiTheme="majorHAnsi" w:cstheme="majorHAnsi"/>
          <w:b/>
          <w:color w:val="000000"/>
          <w:sz w:val="22"/>
          <w:szCs w:val="22"/>
          <w:vertAlign w:val="superscript"/>
        </w:rPr>
        <w:t>4</w:t>
      </w:r>
      <w:r w:rsidRPr="0018098C">
        <w:rPr>
          <w:rFonts w:asciiTheme="majorHAnsi" w:eastAsia="Times New Roman" w:hAnsiTheme="majorHAnsi" w:cstheme="majorHAnsi"/>
          <w:b/>
          <w:color w:val="000000"/>
          <w:sz w:val="22"/>
          <w:szCs w:val="22"/>
        </w:rPr>
        <w:t>Janssen Research and Development, Titusville, NJ, USA</w:t>
      </w:r>
    </w:p>
    <w:p w14:paraId="1A764BEE" w14:textId="793744D0" w:rsidR="00257053" w:rsidRPr="0018098C" w:rsidRDefault="00257053" w:rsidP="0018098C">
      <w:pPr>
        <w:pStyle w:val="ListParagraph"/>
        <w:numPr>
          <w:ilvl w:val="0"/>
          <w:numId w:val="2"/>
        </w:numPr>
        <w:rPr>
          <w:rFonts w:asciiTheme="majorHAnsi" w:eastAsia="Times New Roman" w:hAnsiTheme="majorHAnsi" w:cstheme="majorHAnsi"/>
          <w:b/>
          <w:color w:val="000000"/>
          <w:sz w:val="22"/>
          <w:szCs w:val="22"/>
        </w:rPr>
        <w:sectPr w:rsidR="00257053" w:rsidRPr="0018098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pPr>
    </w:p>
    <w:p w14:paraId="6F50B5DE" w14:textId="3AAD0AE3" w:rsidR="00B41521" w:rsidRPr="00E967A8" w:rsidRDefault="00A42246" w:rsidP="00B41521">
      <w:pPr>
        <w:keepNext/>
        <w:pBdr>
          <w:top w:val="nil"/>
          <w:left w:val="nil"/>
          <w:bottom w:val="nil"/>
          <w:right w:val="nil"/>
          <w:between w:val="nil"/>
        </w:pBdr>
        <w:spacing w:after="120"/>
        <w:jc w:val="both"/>
        <w:rPr>
          <w:rFonts w:eastAsia="Calibri"/>
          <w:b/>
          <w:sz w:val="22"/>
          <w:szCs w:val="22"/>
        </w:rPr>
      </w:pPr>
      <w:r>
        <w:br w:type="page"/>
      </w:r>
      <w:r w:rsidRPr="00E967A8">
        <w:rPr>
          <w:rFonts w:eastAsia="Calibri"/>
          <w:b/>
          <w:color w:val="000000"/>
          <w:sz w:val="22"/>
          <w:szCs w:val="22"/>
        </w:rPr>
        <w:lastRenderedPageBreak/>
        <w:t>Abstract</w:t>
      </w:r>
    </w:p>
    <w:p w14:paraId="3F82C1A2" w14:textId="36ED0389" w:rsidR="00B11BAD" w:rsidRPr="00083668" w:rsidRDefault="00311B4C" w:rsidP="00083668">
      <w:pPr>
        <w:keepNext/>
        <w:pBdr>
          <w:top w:val="nil"/>
          <w:left w:val="nil"/>
          <w:bottom w:val="nil"/>
          <w:right w:val="nil"/>
          <w:between w:val="nil"/>
        </w:pBdr>
        <w:spacing w:after="120"/>
        <w:jc w:val="both"/>
        <w:rPr>
          <w:rFonts w:ascii="Calibri" w:eastAsia="Calibri" w:hAnsi="Calibri" w:cs="Calibri"/>
          <w:b/>
          <w:color w:val="000000"/>
          <w:sz w:val="22"/>
          <w:szCs w:val="22"/>
        </w:rPr>
      </w:pPr>
      <w:r w:rsidRPr="00311B4C">
        <w:rPr>
          <w:i/>
          <w:iCs/>
          <w:color w:val="000000"/>
          <w:sz w:val="22"/>
          <w:szCs w:val="22"/>
        </w:rPr>
        <w:t>Electronic health records (EHRs)</w:t>
      </w:r>
      <w:r w:rsidR="00574A0F" w:rsidRPr="00311B4C">
        <w:rPr>
          <w:i/>
          <w:iCs/>
          <w:color w:val="000000"/>
          <w:sz w:val="22"/>
          <w:szCs w:val="22"/>
        </w:rPr>
        <w:t xml:space="preserve"> are widely used in modern healthcare research, containing useful information characterizing patients' clinical visits. Due to privacy concerns surrounding patient-level data sharing, m</w:t>
      </w:r>
      <w:r w:rsidR="00D878A6" w:rsidRPr="00311B4C">
        <w:rPr>
          <w:i/>
          <w:iCs/>
          <w:color w:val="000000"/>
          <w:sz w:val="22"/>
          <w:szCs w:val="22"/>
        </w:rPr>
        <w:t>any</w:t>
      </w:r>
      <w:r w:rsidR="00574A0F" w:rsidRPr="00311B4C">
        <w:rPr>
          <w:i/>
          <w:iCs/>
          <w:color w:val="000000"/>
          <w:sz w:val="22"/>
          <w:szCs w:val="22"/>
        </w:rPr>
        <w:t xml:space="preserve"> clinical data analyses are performed at individual sites</w:t>
      </w:r>
      <w:r w:rsidR="00D878A6" w:rsidRPr="00311B4C">
        <w:rPr>
          <w:i/>
          <w:iCs/>
          <w:color w:val="000000"/>
          <w:sz w:val="22"/>
          <w:szCs w:val="22"/>
        </w:rPr>
        <w:t xml:space="preserve">, </w:t>
      </w:r>
      <w:r w:rsidRPr="00311B4C">
        <w:rPr>
          <w:i/>
          <w:iCs/>
          <w:color w:val="000000"/>
          <w:sz w:val="22"/>
          <w:szCs w:val="22"/>
        </w:rPr>
        <w:t>resulting in studies</w:t>
      </w:r>
      <w:r w:rsidR="00B11BAD">
        <w:rPr>
          <w:i/>
          <w:iCs/>
          <w:color w:val="000000"/>
          <w:sz w:val="22"/>
          <w:szCs w:val="22"/>
        </w:rPr>
        <w:t xml:space="preserve"> that are</w:t>
      </w:r>
      <w:r w:rsidR="00D878A6" w:rsidRPr="00311B4C">
        <w:rPr>
          <w:i/>
          <w:iCs/>
          <w:color w:val="000000"/>
          <w:sz w:val="22"/>
          <w:szCs w:val="22"/>
        </w:rPr>
        <w:t xml:space="preserve"> often underpowered and lac</w:t>
      </w:r>
      <w:r w:rsidRPr="00311B4C">
        <w:rPr>
          <w:i/>
          <w:iCs/>
          <w:color w:val="000000"/>
          <w:sz w:val="22"/>
          <w:szCs w:val="22"/>
        </w:rPr>
        <w:t>king</w:t>
      </w:r>
      <w:r w:rsidR="00D878A6" w:rsidRPr="00311B4C">
        <w:rPr>
          <w:i/>
          <w:iCs/>
          <w:color w:val="000000"/>
          <w:sz w:val="22"/>
          <w:szCs w:val="22"/>
        </w:rPr>
        <w:t xml:space="preserve"> generalizability.</w:t>
      </w:r>
      <w:r w:rsidR="00574A0F" w:rsidRPr="00311B4C">
        <w:rPr>
          <w:i/>
          <w:iCs/>
          <w:color w:val="000000"/>
          <w:sz w:val="22"/>
          <w:szCs w:val="22"/>
        </w:rPr>
        <w:t xml:space="preserve"> </w:t>
      </w:r>
      <w:r w:rsidR="00D878A6" w:rsidRPr="00311B4C">
        <w:rPr>
          <w:i/>
          <w:iCs/>
          <w:color w:val="000000"/>
          <w:sz w:val="22"/>
          <w:szCs w:val="22"/>
        </w:rPr>
        <w:t>D</w:t>
      </w:r>
      <w:r w:rsidR="00574A0F" w:rsidRPr="00311B4C">
        <w:rPr>
          <w:i/>
          <w:iCs/>
          <w:color w:val="000000"/>
          <w:sz w:val="22"/>
          <w:szCs w:val="22"/>
        </w:rPr>
        <w:t xml:space="preserve">istributed </w:t>
      </w:r>
      <w:r w:rsidR="00D878A6" w:rsidRPr="00311B4C">
        <w:rPr>
          <w:i/>
          <w:iCs/>
          <w:color w:val="000000"/>
          <w:sz w:val="22"/>
          <w:szCs w:val="22"/>
        </w:rPr>
        <w:t xml:space="preserve">learning </w:t>
      </w:r>
      <w:r w:rsidR="00574A0F" w:rsidRPr="00311B4C">
        <w:rPr>
          <w:i/>
          <w:iCs/>
          <w:color w:val="000000"/>
          <w:sz w:val="22"/>
          <w:szCs w:val="22"/>
        </w:rPr>
        <w:t>algorithms have been developed</w:t>
      </w:r>
      <w:r w:rsidR="00D878A6" w:rsidRPr="00311B4C">
        <w:rPr>
          <w:i/>
          <w:iCs/>
          <w:color w:val="000000"/>
          <w:sz w:val="22"/>
          <w:szCs w:val="22"/>
        </w:rPr>
        <w:t xml:space="preserve"> in recent years</w:t>
      </w:r>
      <w:r w:rsidR="00574A0F" w:rsidRPr="00311B4C">
        <w:rPr>
          <w:i/>
          <w:iCs/>
          <w:color w:val="000000"/>
          <w:sz w:val="22"/>
          <w:szCs w:val="22"/>
        </w:rPr>
        <w:t xml:space="preserve"> to conduct analyses across sites by sharing only aggregated information</w:t>
      </w:r>
      <w:r w:rsidR="00D878A6" w:rsidRPr="00311B4C">
        <w:rPr>
          <w:i/>
          <w:iCs/>
          <w:color w:val="000000"/>
          <w:sz w:val="22"/>
          <w:szCs w:val="22"/>
        </w:rPr>
        <w:t>, preserving patient privacy.</w:t>
      </w:r>
      <w:r>
        <w:rPr>
          <w:i/>
          <w:iCs/>
          <w:color w:val="000000"/>
          <w:sz w:val="22"/>
          <w:szCs w:val="22"/>
        </w:rPr>
        <w:t xml:space="preserve"> </w:t>
      </w:r>
      <w:r w:rsidRPr="00311B4C">
        <w:rPr>
          <w:i/>
          <w:iCs/>
          <w:sz w:val="22"/>
          <w:szCs w:val="22"/>
        </w:rPr>
        <w:t>W</w:t>
      </w:r>
      <w:r w:rsidR="00574A0F" w:rsidRPr="00311B4C">
        <w:rPr>
          <w:i/>
          <w:iCs/>
          <w:sz w:val="22"/>
          <w:szCs w:val="22"/>
        </w:rPr>
        <w:t xml:space="preserve">e </w:t>
      </w:r>
      <w:r w:rsidRPr="00311B4C">
        <w:rPr>
          <w:i/>
          <w:iCs/>
          <w:sz w:val="22"/>
          <w:szCs w:val="22"/>
        </w:rPr>
        <w:t>propose</w:t>
      </w:r>
      <w:r w:rsidR="00574A0F" w:rsidRPr="00311B4C">
        <w:rPr>
          <w:i/>
          <w:iCs/>
          <w:sz w:val="22"/>
          <w:szCs w:val="22"/>
        </w:rPr>
        <w:t xml:space="preserve"> a one-shot</w:t>
      </w:r>
      <w:r w:rsidR="00D878A6" w:rsidRPr="00311B4C">
        <w:rPr>
          <w:i/>
          <w:iCs/>
          <w:sz w:val="22"/>
          <w:szCs w:val="22"/>
        </w:rPr>
        <w:t xml:space="preserve"> distributed</w:t>
      </w:r>
      <w:r w:rsidR="00574A0F" w:rsidRPr="00311B4C">
        <w:rPr>
          <w:i/>
          <w:iCs/>
          <w:sz w:val="22"/>
          <w:szCs w:val="22"/>
        </w:rPr>
        <w:t xml:space="preserve"> algorithm for performing hurdle regression (ODAH) across multiple sites, using </w:t>
      </w:r>
      <w:r w:rsidR="00D878A6" w:rsidRPr="00311B4C">
        <w:rPr>
          <w:i/>
          <w:iCs/>
          <w:sz w:val="22"/>
          <w:szCs w:val="22"/>
        </w:rPr>
        <w:t>patient-level</w:t>
      </w:r>
      <w:r w:rsidR="00574A0F" w:rsidRPr="00311B4C">
        <w:rPr>
          <w:i/>
          <w:iCs/>
          <w:sz w:val="22"/>
          <w:szCs w:val="22"/>
        </w:rPr>
        <w:t xml:space="preserve"> data at one site and aggregated data from all other sites to approximate the complete data log likelihood. We evaluate ODAH through extensive simulations and an application to EHR</w:t>
      </w:r>
      <w:r w:rsidRPr="00311B4C">
        <w:rPr>
          <w:i/>
          <w:iCs/>
          <w:sz w:val="22"/>
          <w:szCs w:val="22"/>
        </w:rPr>
        <w:t>s</w:t>
      </w:r>
      <w:r w:rsidR="00574A0F" w:rsidRPr="00311B4C">
        <w:rPr>
          <w:i/>
          <w:iCs/>
          <w:sz w:val="22"/>
          <w:szCs w:val="22"/>
        </w:rPr>
        <w:t xml:space="preserve"> from the Children’s Hospital of Philadelphia (CHOP). </w:t>
      </w:r>
    </w:p>
    <w:p w14:paraId="2F6EF26C" w14:textId="77777777" w:rsidR="00257053" w:rsidRPr="00E967A8" w:rsidRDefault="00A42246">
      <w:pPr>
        <w:pBdr>
          <w:top w:val="nil"/>
          <w:left w:val="nil"/>
          <w:bottom w:val="nil"/>
          <w:right w:val="nil"/>
          <w:between w:val="nil"/>
        </w:pBdr>
        <w:spacing w:after="120"/>
        <w:jc w:val="both"/>
        <w:rPr>
          <w:rFonts w:eastAsia="Calibri"/>
          <w:b/>
          <w:sz w:val="22"/>
          <w:szCs w:val="22"/>
        </w:rPr>
      </w:pPr>
      <w:r w:rsidRPr="00E967A8">
        <w:rPr>
          <w:rFonts w:eastAsia="Calibri"/>
          <w:b/>
          <w:sz w:val="22"/>
          <w:szCs w:val="22"/>
        </w:rPr>
        <w:t>Research Category (please highlight or circle which category best describes your research)</w:t>
      </w:r>
    </w:p>
    <w:p w14:paraId="1E924D49" w14:textId="2CD279B9" w:rsidR="00B11BAD" w:rsidRPr="00E967A8" w:rsidRDefault="00A42246" w:rsidP="00083668">
      <w:pPr>
        <w:pBdr>
          <w:top w:val="nil"/>
          <w:left w:val="nil"/>
          <w:bottom w:val="nil"/>
          <w:right w:val="nil"/>
          <w:between w:val="nil"/>
        </w:pBdr>
        <w:spacing w:after="120"/>
        <w:jc w:val="both"/>
        <w:rPr>
          <w:rFonts w:eastAsia="Calibri"/>
          <w:sz w:val="22"/>
          <w:szCs w:val="22"/>
        </w:rPr>
      </w:pPr>
      <w:r w:rsidRPr="00E967A8">
        <w:rPr>
          <w:rFonts w:eastAsia="Calibri"/>
          <w:sz w:val="22"/>
          <w:szCs w:val="22"/>
        </w:rPr>
        <w:t xml:space="preserve">Observational data management, clinical characterization, </w:t>
      </w:r>
      <w:r w:rsidRPr="00E967A8">
        <w:rPr>
          <w:rFonts w:eastAsia="Calibri"/>
          <w:sz w:val="22"/>
          <w:szCs w:val="22"/>
          <w:highlight w:val="yellow"/>
        </w:rPr>
        <w:t>population-level estimation</w:t>
      </w:r>
      <w:r w:rsidRPr="00E967A8">
        <w:rPr>
          <w:rFonts w:eastAsia="Calibri"/>
          <w:sz w:val="22"/>
          <w:szCs w:val="22"/>
        </w:rPr>
        <w:t>, patient-level prediction, other (if other, please indicate)</w:t>
      </w:r>
    </w:p>
    <w:p w14:paraId="7990ABC2" w14:textId="77777777" w:rsidR="00B41521" w:rsidRDefault="004D1C22" w:rsidP="00B41521">
      <w:pPr>
        <w:keepNext/>
        <w:pBdr>
          <w:top w:val="nil"/>
          <w:left w:val="nil"/>
          <w:bottom w:val="nil"/>
          <w:right w:val="nil"/>
          <w:between w:val="nil"/>
        </w:pBdr>
        <w:spacing w:before="120" w:after="120"/>
        <w:jc w:val="both"/>
        <w:rPr>
          <w:rFonts w:eastAsia="Calibri"/>
          <w:b/>
          <w:color w:val="000000"/>
          <w:sz w:val="22"/>
          <w:szCs w:val="22"/>
        </w:rPr>
      </w:pPr>
      <w:r w:rsidRPr="00B11BAD">
        <w:rPr>
          <w:rFonts w:eastAsia="Calibri"/>
          <w:b/>
          <w:color w:val="000000"/>
          <w:sz w:val="22"/>
          <w:szCs w:val="22"/>
        </w:rPr>
        <w:t>Introduction</w:t>
      </w:r>
    </w:p>
    <w:p w14:paraId="43727A84" w14:textId="53CE88A8" w:rsidR="00E967A8" w:rsidRDefault="00E967A8" w:rsidP="00E967A8">
      <w:pPr>
        <w:keepNext/>
        <w:pBdr>
          <w:top w:val="nil"/>
          <w:left w:val="nil"/>
          <w:bottom w:val="nil"/>
          <w:right w:val="nil"/>
          <w:between w:val="nil"/>
        </w:pBdr>
        <w:spacing w:before="120" w:after="120"/>
        <w:jc w:val="both"/>
        <w:rPr>
          <w:sz w:val="22"/>
          <w:szCs w:val="22"/>
        </w:rPr>
      </w:pPr>
      <w:r>
        <w:rPr>
          <w:sz w:val="22"/>
          <w:szCs w:val="22"/>
        </w:rPr>
        <w:t xml:space="preserve">Recent years have seen a rise in </w:t>
      </w:r>
      <w:r w:rsidR="00B11BAD" w:rsidRPr="00B11BAD">
        <w:rPr>
          <w:sz w:val="22"/>
          <w:szCs w:val="22"/>
        </w:rPr>
        <w:t>multicenter studies</w:t>
      </w:r>
      <w:r w:rsidR="00B11BAD">
        <w:rPr>
          <w:sz w:val="22"/>
          <w:szCs w:val="22"/>
          <w:vertAlign w:val="superscript"/>
        </w:rPr>
        <w:t>1</w:t>
      </w:r>
      <w:r w:rsidR="00B11BAD">
        <w:rPr>
          <w:sz w:val="22"/>
          <w:szCs w:val="22"/>
        </w:rPr>
        <w:t>, which improve</w:t>
      </w:r>
      <w:r w:rsidR="00B11BAD" w:rsidRPr="00B11BAD">
        <w:rPr>
          <w:sz w:val="22"/>
          <w:szCs w:val="22"/>
        </w:rPr>
        <w:t xml:space="preserve"> analyses </w:t>
      </w:r>
      <w:r w:rsidR="00B11BAD">
        <w:rPr>
          <w:sz w:val="22"/>
          <w:szCs w:val="22"/>
        </w:rPr>
        <w:t xml:space="preserve">by using </w:t>
      </w:r>
      <w:r w:rsidR="00B11BAD" w:rsidRPr="00B11BAD">
        <w:rPr>
          <w:sz w:val="22"/>
          <w:szCs w:val="22"/>
        </w:rPr>
        <w:t xml:space="preserve">larger, more inclusive sample from the target population. </w:t>
      </w:r>
      <w:r w:rsidR="00B11BAD">
        <w:rPr>
          <w:sz w:val="22"/>
          <w:szCs w:val="22"/>
        </w:rPr>
        <w:t>M</w:t>
      </w:r>
      <w:r>
        <w:rPr>
          <w:sz w:val="22"/>
          <w:szCs w:val="22"/>
        </w:rPr>
        <w:t>any</w:t>
      </w:r>
      <w:r w:rsidR="00B11BAD" w:rsidRPr="00B11BAD">
        <w:rPr>
          <w:sz w:val="22"/>
          <w:szCs w:val="22"/>
        </w:rPr>
        <w:t xml:space="preserve"> analyses in multicenter studies</w:t>
      </w:r>
      <w:r>
        <w:rPr>
          <w:sz w:val="22"/>
          <w:szCs w:val="22"/>
        </w:rPr>
        <w:t xml:space="preserve"> </w:t>
      </w:r>
      <w:r w:rsidR="00B11BAD" w:rsidRPr="00B11BAD">
        <w:rPr>
          <w:sz w:val="22"/>
          <w:szCs w:val="22"/>
        </w:rPr>
        <w:t xml:space="preserve">are carried out via meta-analysis, </w:t>
      </w:r>
      <w:r w:rsidR="00B11BAD">
        <w:rPr>
          <w:sz w:val="22"/>
          <w:szCs w:val="22"/>
        </w:rPr>
        <w:t>only requiring</w:t>
      </w:r>
      <w:r w:rsidR="00B11BAD" w:rsidRPr="00B11BAD">
        <w:rPr>
          <w:sz w:val="22"/>
          <w:szCs w:val="22"/>
        </w:rPr>
        <w:t xml:space="preserve"> sharing of summary statistics between institutions</w:t>
      </w:r>
      <w:r w:rsidR="00B11BAD">
        <w:rPr>
          <w:sz w:val="22"/>
          <w:szCs w:val="22"/>
          <w:vertAlign w:val="superscript"/>
        </w:rPr>
        <w:t>2</w:t>
      </w:r>
      <w:r w:rsidR="00B11BAD" w:rsidRPr="00B11BAD">
        <w:rPr>
          <w:sz w:val="22"/>
          <w:szCs w:val="22"/>
          <w:vertAlign w:val="superscript"/>
        </w:rPr>
        <w:t>-</w:t>
      </w:r>
      <w:r w:rsidR="00B11BAD">
        <w:rPr>
          <w:sz w:val="22"/>
          <w:szCs w:val="22"/>
          <w:vertAlign w:val="superscript"/>
        </w:rPr>
        <w:t>4</w:t>
      </w:r>
      <w:r w:rsidR="00B11BAD" w:rsidRPr="00B11BAD">
        <w:rPr>
          <w:sz w:val="22"/>
          <w:szCs w:val="22"/>
        </w:rPr>
        <w:t>.</w:t>
      </w:r>
      <w:r>
        <w:rPr>
          <w:sz w:val="22"/>
          <w:szCs w:val="22"/>
        </w:rPr>
        <w:t xml:space="preserve"> While simple to use, meta-analysis has been shown to lead to inaccurate effect estimates in some settings, particularly in the context of rare events</w:t>
      </w:r>
      <w:r>
        <w:rPr>
          <w:sz w:val="22"/>
          <w:szCs w:val="22"/>
          <w:vertAlign w:val="superscript"/>
        </w:rPr>
        <w:t>5</w:t>
      </w:r>
      <w:r>
        <w:rPr>
          <w:sz w:val="22"/>
          <w:szCs w:val="22"/>
        </w:rPr>
        <w:t xml:space="preserve">. </w:t>
      </w:r>
      <w:r w:rsidR="00B11BAD" w:rsidRPr="00B11BAD">
        <w:rPr>
          <w:sz w:val="22"/>
          <w:szCs w:val="22"/>
        </w:rPr>
        <w:t xml:space="preserve">An established alternative to performing meta-analysis is to use distributed algorithms, which allow for a model of interest to be fit </w:t>
      </w:r>
      <w:r w:rsidR="00B41521">
        <w:rPr>
          <w:sz w:val="22"/>
          <w:szCs w:val="22"/>
        </w:rPr>
        <w:t>distributively</w:t>
      </w:r>
      <w:r w:rsidR="00B11BAD" w:rsidRPr="00B11BAD">
        <w:rPr>
          <w:sz w:val="22"/>
          <w:szCs w:val="22"/>
        </w:rPr>
        <w:t xml:space="preserve"> across participating institutions. Many distributed algorithms are iterative, requiring extensive communication among institutions to reach convergence</w:t>
      </w:r>
      <w:r w:rsidR="001A16E7">
        <w:rPr>
          <w:sz w:val="22"/>
          <w:szCs w:val="22"/>
        </w:rPr>
        <w:t xml:space="preserve"> of parameter estimates</w:t>
      </w:r>
      <w:r>
        <w:rPr>
          <w:sz w:val="22"/>
          <w:szCs w:val="22"/>
          <w:vertAlign w:val="superscript"/>
        </w:rPr>
        <w:t>6,7</w:t>
      </w:r>
      <w:r w:rsidR="00B11BAD" w:rsidRPr="00B11BAD">
        <w:rPr>
          <w:sz w:val="22"/>
          <w:szCs w:val="22"/>
        </w:rPr>
        <w:t>.</w:t>
      </w:r>
    </w:p>
    <w:p w14:paraId="5B089498" w14:textId="60784462" w:rsidR="00B41521" w:rsidRPr="00E967A8" w:rsidRDefault="00B11BAD" w:rsidP="00E967A8">
      <w:pPr>
        <w:keepNext/>
        <w:pBdr>
          <w:top w:val="nil"/>
          <w:left w:val="nil"/>
          <w:bottom w:val="nil"/>
          <w:right w:val="nil"/>
          <w:between w:val="nil"/>
        </w:pBdr>
        <w:spacing w:before="120" w:after="120"/>
        <w:jc w:val="both"/>
        <w:rPr>
          <w:rFonts w:eastAsia="Calibri"/>
          <w:b/>
          <w:color w:val="000000"/>
          <w:sz w:val="22"/>
          <w:szCs w:val="22"/>
        </w:rPr>
      </w:pPr>
      <w:r w:rsidRPr="00B11BAD">
        <w:rPr>
          <w:sz w:val="22"/>
          <w:szCs w:val="22"/>
        </w:rPr>
        <w:t>Duan et al. recently proposed two algorithms which perform non-iterative distributed regression, offering communication-efficient alternatives to previously proposed iterative algorithms</w:t>
      </w:r>
      <w:r w:rsidR="00E967A8">
        <w:rPr>
          <w:sz w:val="22"/>
          <w:szCs w:val="22"/>
          <w:vertAlign w:val="superscript"/>
        </w:rPr>
        <w:t>5</w:t>
      </w:r>
      <w:r>
        <w:rPr>
          <w:sz w:val="22"/>
          <w:szCs w:val="22"/>
          <w:vertAlign w:val="superscript"/>
        </w:rPr>
        <w:t>,8</w:t>
      </w:r>
      <w:r w:rsidRPr="00B11BAD">
        <w:rPr>
          <w:sz w:val="22"/>
          <w:szCs w:val="22"/>
        </w:rPr>
        <w:t>. We build upon th</w:t>
      </w:r>
      <w:r w:rsidR="00E967A8">
        <w:rPr>
          <w:sz w:val="22"/>
          <w:szCs w:val="22"/>
        </w:rPr>
        <w:t>is</w:t>
      </w:r>
      <w:r w:rsidRPr="00B11BAD">
        <w:rPr>
          <w:sz w:val="22"/>
          <w:szCs w:val="22"/>
        </w:rPr>
        <w:t xml:space="preserve"> framework of communication-efficient distributed algorithms and present an algorithm for performing hurdle regression, ODAH (One-shot Distributed Algorithm for performing Hurdle regression), to model zero-inflated count data. Zero-inflated count outcomes are common in EHRs; while count outcomes are traditionally modeled via either Poisson or Negative Binomial regression, many count outcomes in healthcare feature more zero counts than would be expected in these distributions</w:t>
      </w:r>
      <w:r>
        <w:rPr>
          <w:sz w:val="22"/>
          <w:szCs w:val="22"/>
          <w:vertAlign w:val="superscript"/>
        </w:rPr>
        <w:t>9</w:t>
      </w:r>
      <w:r w:rsidRPr="00B11BAD">
        <w:rPr>
          <w:sz w:val="22"/>
          <w:szCs w:val="22"/>
        </w:rPr>
        <w:t>. We evaluate ODAH through extensive simulations before using it to analyze risk factors of pediatric avoidable hospitalization in patients at the Children’s Hospital of Philadelphia</w:t>
      </w:r>
      <w:r>
        <w:rPr>
          <w:sz w:val="22"/>
          <w:szCs w:val="22"/>
        </w:rPr>
        <w:t xml:space="preserve"> (CHOP)</w:t>
      </w:r>
      <w:r w:rsidRPr="00B11BAD">
        <w:rPr>
          <w:sz w:val="22"/>
          <w:szCs w:val="22"/>
        </w:rPr>
        <w:t>.</w:t>
      </w:r>
    </w:p>
    <w:p w14:paraId="48868A9D" w14:textId="1AE4EA98" w:rsidR="00257053" w:rsidRPr="00B41521" w:rsidRDefault="004D1C22" w:rsidP="00B41521">
      <w:pPr>
        <w:rPr>
          <w:sz w:val="22"/>
          <w:szCs w:val="22"/>
        </w:rPr>
      </w:pPr>
      <w:r w:rsidRPr="00B11BAD">
        <w:rPr>
          <w:rFonts w:eastAsia="Calibri"/>
          <w:b/>
          <w:color w:val="000000"/>
          <w:sz w:val="22"/>
          <w:szCs w:val="22"/>
        </w:rPr>
        <w:t>Methods</w:t>
      </w:r>
    </w:p>
    <w:p w14:paraId="7D000CA1" w14:textId="51966DE6" w:rsidR="00B11BAD" w:rsidRPr="00B11BAD" w:rsidRDefault="00B11BAD" w:rsidP="00B11BAD">
      <w:pPr>
        <w:pBdr>
          <w:top w:val="nil"/>
          <w:left w:val="nil"/>
          <w:bottom w:val="nil"/>
          <w:right w:val="nil"/>
          <w:between w:val="nil"/>
        </w:pBdr>
        <w:spacing w:after="120"/>
        <w:jc w:val="both"/>
        <w:rPr>
          <w:rFonts w:eastAsia="Calibri"/>
          <w:bCs/>
          <w:sz w:val="22"/>
          <w:szCs w:val="22"/>
        </w:rPr>
      </w:pPr>
      <w:r w:rsidRPr="00B11BAD">
        <w:rPr>
          <w:rFonts w:eastAsia="Calibri"/>
          <w:bCs/>
          <w:sz w:val="22"/>
          <w:szCs w:val="22"/>
        </w:rPr>
        <w:t>A hurdle model is an altered, two-part count model in which the processes of generating zero and positive counts are not constrained to be the same</w:t>
      </w:r>
      <w:r w:rsidRPr="00B11BAD">
        <w:rPr>
          <w:rFonts w:eastAsia="Calibri"/>
          <w:bCs/>
          <w:sz w:val="22"/>
          <w:szCs w:val="22"/>
          <w:vertAlign w:val="superscript"/>
        </w:rPr>
        <w:t>1</w:t>
      </w:r>
      <w:r>
        <w:rPr>
          <w:rFonts w:eastAsia="Calibri"/>
          <w:bCs/>
          <w:sz w:val="22"/>
          <w:szCs w:val="22"/>
          <w:vertAlign w:val="superscript"/>
        </w:rPr>
        <w:t>0</w:t>
      </w:r>
      <w:r w:rsidRPr="00B11BAD">
        <w:rPr>
          <w:rFonts w:eastAsia="Calibri"/>
          <w:bCs/>
          <w:sz w:val="22"/>
          <w:szCs w:val="22"/>
        </w:rPr>
        <w:t xml:space="preserve">. The proportion of zero counts are modeled </w:t>
      </w:r>
      <w:r w:rsidR="00E967A8">
        <w:rPr>
          <w:rFonts w:eastAsia="Calibri"/>
          <w:bCs/>
          <w:sz w:val="22"/>
          <w:szCs w:val="22"/>
        </w:rPr>
        <w:t xml:space="preserve">using </w:t>
      </w:r>
      <w:r w:rsidRPr="00B11BAD">
        <w:rPr>
          <w:rFonts w:eastAsia="Calibri"/>
          <w:bCs/>
          <w:sz w:val="22"/>
          <w:szCs w:val="22"/>
        </w:rPr>
        <w:t>logistic regression</w:t>
      </w:r>
      <w:r w:rsidR="00E967A8">
        <w:rPr>
          <w:rFonts w:eastAsia="Calibri"/>
          <w:bCs/>
          <w:sz w:val="22"/>
          <w:szCs w:val="22"/>
        </w:rPr>
        <w:t xml:space="preserve"> and</w:t>
      </w:r>
      <w:r w:rsidRPr="00B11BAD">
        <w:rPr>
          <w:rFonts w:eastAsia="Calibri"/>
          <w:bCs/>
          <w:sz w:val="22"/>
          <w:szCs w:val="22"/>
        </w:rPr>
        <w:t xml:space="preserve"> positive counts are modeled with a zero-truncated Poisson model.</w:t>
      </w:r>
    </w:p>
    <w:p w14:paraId="67D75F50" w14:textId="5223C68C" w:rsidR="00B11BAD" w:rsidRDefault="00B11BAD" w:rsidP="00B11BAD">
      <w:pPr>
        <w:rPr>
          <w:rFonts w:eastAsiaTheme="minorEastAsia"/>
          <w:sz w:val="22"/>
          <w:szCs w:val="22"/>
        </w:rPr>
      </w:pPr>
      <w:r>
        <w:rPr>
          <w:rFonts w:eastAsiaTheme="minorEastAsia"/>
          <w:sz w:val="22"/>
          <w:szCs w:val="22"/>
        </w:rPr>
        <w:t xml:space="preserve">In the context of </w:t>
      </w:r>
      <w:r w:rsidR="00E967A8">
        <w:rPr>
          <w:rFonts w:eastAsiaTheme="minorEastAsia"/>
          <w:sz w:val="22"/>
          <w:szCs w:val="22"/>
        </w:rPr>
        <w:t>a distributed data network</w:t>
      </w:r>
      <w:r>
        <w:rPr>
          <w:rFonts w:eastAsiaTheme="minorEastAsia"/>
          <w:sz w:val="22"/>
          <w:szCs w:val="22"/>
        </w:rPr>
        <w:t>, w</w:t>
      </w:r>
      <w:r w:rsidRPr="00B11BAD">
        <w:rPr>
          <w:rFonts w:eastAsiaTheme="minorEastAsia"/>
          <w:sz w:val="22"/>
          <w:szCs w:val="22"/>
        </w:rPr>
        <w:t>e assume that we do not have access to the combined data</w:t>
      </w:r>
      <w:r>
        <w:rPr>
          <w:rFonts w:eastAsiaTheme="minorEastAsia"/>
          <w:sz w:val="22"/>
          <w:szCs w:val="22"/>
        </w:rPr>
        <w:t xml:space="preserve"> from all </w:t>
      </w:r>
      <w:r w:rsidR="00E967A8">
        <w:rPr>
          <w:rFonts w:eastAsiaTheme="minorEastAsia"/>
          <w:sz w:val="22"/>
          <w:szCs w:val="22"/>
        </w:rPr>
        <w:t>collaborating institutions</w:t>
      </w:r>
      <w:r w:rsidRPr="00B11BAD">
        <w:rPr>
          <w:rFonts w:eastAsiaTheme="minorEastAsia"/>
          <w:sz w:val="22"/>
          <w:szCs w:val="22"/>
        </w:rPr>
        <w:t>; instead, we only have access to data at one of the</w:t>
      </w:r>
      <w:r>
        <w:rPr>
          <w:rFonts w:eastAsiaTheme="minorEastAsia"/>
          <w:sz w:val="22"/>
          <w:szCs w:val="22"/>
        </w:rPr>
        <w:t xml:space="preserve"> </w:t>
      </w:r>
      <w:r w:rsidRPr="00B11BAD">
        <w:rPr>
          <w:rFonts w:eastAsiaTheme="minorEastAsia"/>
          <w:sz w:val="22"/>
          <w:szCs w:val="22"/>
        </w:rPr>
        <w:t xml:space="preserve">sites (the </w:t>
      </w:r>
      <w:r w:rsidRPr="00B11BAD">
        <w:rPr>
          <w:rFonts w:eastAsiaTheme="minorEastAsia"/>
          <w:i/>
          <w:sz w:val="22"/>
          <w:szCs w:val="22"/>
        </w:rPr>
        <w:t>local site</w:t>
      </w:r>
      <w:r w:rsidRPr="00B11BAD">
        <w:rPr>
          <w:rFonts w:eastAsiaTheme="minorEastAsia"/>
          <w:sz w:val="22"/>
          <w:szCs w:val="22"/>
        </w:rPr>
        <w:t>), as well as aggregate information from</w:t>
      </w:r>
      <w:r w:rsidR="00E967A8">
        <w:rPr>
          <w:rFonts w:eastAsiaTheme="minorEastAsia"/>
          <w:sz w:val="22"/>
          <w:szCs w:val="22"/>
        </w:rPr>
        <w:t xml:space="preserve"> all</w:t>
      </w:r>
      <w:r w:rsidRPr="00B11BAD">
        <w:rPr>
          <w:rFonts w:eastAsiaTheme="minorEastAsia"/>
          <w:sz w:val="22"/>
          <w:szCs w:val="22"/>
        </w:rPr>
        <w:t xml:space="preserve"> other sites. Using methods developed by Jordan et al.</w:t>
      </w:r>
      <w:r w:rsidR="00E967A8">
        <w:rPr>
          <w:rFonts w:eastAsiaTheme="minorEastAsia"/>
          <w:sz w:val="22"/>
          <w:szCs w:val="22"/>
        </w:rPr>
        <w:t xml:space="preserve">, </w:t>
      </w:r>
      <w:r w:rsidRPr="00B11BAD">
        <w:rPr>
          <w:rFonts w:eastAsiaTheme="minorEastAsia"/>
          <w:sz w:val="22"/>
          <w:szCs w:val="22"/>
        </w:rPr>
        <w:t xml:space="preserve">we construct a </w:t>
      </w:r>
      <w:r w:rsidRPr="00B11BAD">
        <w:rPr>
          <w:rFonts w:eastAsiaTheme="minorEastAsia"/>
          <w:i/>
          <w:iCs/>
          <w:sz w:val="22"/>
          <w:szCs w:val="22"/>
        </w:rPr>
        <w:t>surrogate log likelihood function</w:t>
      </w:r>
      <w:r w:rsidRPr="00B11BAD">
        <w:rPr>
          <w:rFonts w:eastAsiaTheme="minorEastAsia"/>
          <w:sz w:val="22"/>
          <w:szCs w:val="22"/>
        </w:rPr>
        <w:t>, which approximates the complete data log likelihood using patient-level data from the local site and aggregate information from the other sites</w:t>
      </w:r>
      <w:r w:rsidR="00E967A8">
        <w:rPr>
          <w:rFonts w:eastAsiaTheme="minorEastAsia"/>
          <w:sz w:val="22"/>
          <w:szCs w:val="22"/>
          <w:vertAlign w:val="superscript"/>
        </w:rPr>
        <w:t>11</w:t>
      </w:r>
      <w:r w:rsidRPr="00B11BAD">
        <w:rPr>
          <w:rFonts w:eastAsiaTheme="minorEastAsia"/>
          <w:sz w:val="22"/>
          <w:szCs w:val="22"/>
        </w:rPr>
        <w:t xml:space="preserve">. The aggregate information used in our work is the set of first- and second-order gradients of the log likelihood function at the </w:t>
      </w:r>
      <w:r>
        <w:rPr>
          <w:rFonts w:eastAsiaTheme="minorEastAsia"/>
          <w:sz w:val="22"/>
          <w:szCs w:val="22"/>
        </w:rPr>
        <w:t>non-local</w:t>
      </w:r>
      <w:r w:rsidRPr="00B11BAD">
        <w:rPr>
          <w:rFonts w:eastAsiaTheme="minorEastAsia"/>
          <w:sz w:val="22"/>
          <w:szCs w:val="22"/>
        </w:rPr>
        <w:t xml:space="preserve"> sites.</w:t>
      </w:r>
      <w:r>
        <w:rPr>
          <w:rFonts w:eastAsiaTheme="minorEastAsia"/>
          <w:sz w:val="22"/>
          <w:szCs w:val="22"/>
        </w:rPr>
        <w:t xml:space="preserve"> </w:t>
      </w:r>
      <w:r w:rsidRPr="00B11BAD">
        <w:rPr>
          <w:rFonts w:eastAsiaTheme="minorEastAsia"/>
          <w:sz w:val="22"/>
          <w:szCs w:val="22"/>
        </w:rPr>
        <w:t xml:space="preserve">Only two non-iterative rounds of communication are necessary for transferring information across sites; thus, </w:t>
      </w:r>
      <w:r>
        <w:rPr>
          <w:rFonts w:eastAsiaTheme="minorEastAsia"/>
          <w:sz w:val="22"/>
          <w:szCs w:val="22"/>
        </w:rPr>
        <w:t>ODAH</w:t>
      </w:r>
      <w:r w:rsidRPr="00B11BAD">
        <w:rPr>
          <w:rFonts w:eastAsiaTheme="minorEastAsia"/>
          <w:sz w:val="22"/>
          <w:szCs w:val="22"/>
        </w:rPr>
        <w:t xml:space="preserve"> is considered a </w:t>
      </w:r>
      <w:r w:rsidRPr="00B11BAD">
        <w:rPr>
          <w:rFonts w:eastAsiaTheme="minorEastAsia"/>
          <w:i/>
          <w:iCs/>
          <w:sz w:val="22"/>
          <w:szCs w:val="22"/>
        </w:rPr>
        <w:t>one-shot</w:t>
      </w:r>
      <w:r w:rsidRPr="00B11BAD">
        <w:rPr>
          <w:rFonts w:eastAsiaTheme="minorEastAsia"/>
          <w:sz w:val="22"/>
          <w:szCs w:val="22"/>
        </w:rPr>
        <w:t xml:space="preserve"> approach for performing distributed inference.</w:t>
      </w:r>
      <w:r>
        <w:rPr>
          <w:rFonts w:eastAsiaTheme="minorEastAsia"/>
          <w:sz w:val="22"/>
          <w:szCs w:val="22"/>
        </w:rPr>
        <w:t xml:space="preserve"> The ODAH algorithm is outlined in detail in Figure 1.</w:t>
      </w:r>
    </w:p>
    <w:p w14:paraId="0AF59459" w14:textId="0A48E32A" w:rsidR="00B11BAD" w:rsidRDefault="00B11BAD" w:rsidP="00B11BAD">
      <w:pPr>
        <w:rPr>
          <w:rFonts w:eastAsiaTheme="minorEastAsia"/>
          <w:sz w:val="22"/>
          <w:szCs w:val="22"/>
        </w:rPr>
      </w:pPr>
    </w:p>
    <w:p w14:paraId="293F8B04" w14:textId="23B55E3E" w:rsidR="00B11BAD" w:rsidRDefault="00B11BAD" w:rsidP="00B11BAD">
      <w:pPr>
        <w:jc w:val="center"/>
        <w:rPr>
          <w:rFonts w:eastAsiaTheme="minorEastAsia"/>
          <w:sz w:val="22"/>
          <w:szCs w:val="22"/>
        </w:rPr>
      </w:pPr>
      <w:r w:rsidRPr="00B11BAD">
        <w:rPr>
          <w:rFonts w:eastAsiaTheme="minorEastAsia"/>
          <w:noProof/>
          <w:sz w:val="22"/>
          <w:szCs w:val="22"/>
        </w:rPr>
        <w:lastRenderedPageBreak/>
        <w:drawing>
          <wp:inline distT="0" distB="0" distL="0" distR="0" wp14:anchorId="7FED487C" wp14:editId="211CD79F">
            <wp:extent cx="4025616" cy="226441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88750" cy="2356173"/>
                    </a:xfrm>
                    <a:prstGeom prst="rect">
                      <a:avLst/>
                    </a:prstGeom>
                  </pic:spPr>
                </pic:pic>
              </a:graphicData>
            </a:graphic>
          </wp:inline>
        </w:drawing>
      </w:r>
    </w:p>
    <w:p w14:paraId="00F0E5B1" w14:textId="49181D21" w:rsidR="00B11BAD" w:rsidRPr="001A16E7" w:rsidRDefault="00B11BAD" w:rsidP="00B11BAD">
      <w:pPr>
        <w:rPr>
          <w:sz w:val="18"/>
          <w:szCs w:val="18"/>
        </w:rPr>
      </w:pPr>
      <w:r w:rsidRPr="001A16E7">
        <w:rPr>
          <w:sz w:val="18"/>
          <w:szCs w:val="18"/>
        </w:rPr>
        <w:t>Figure 1. Visual representation of one-shot algorithm for performing hurdle regression (ODAH).</w:t>
      </w:r>
    </w:p>
    <w:p w14:paraId="34A85619" w14:textId="3D22464B" w:rsidR="00B11BAD" w:rsidRPr="001A16E7" w:rsidRDefault="00B11BAD" w:rsidP="00B11BAD">
      <w:pPr>
        <w:pStyle w:val="ListParagraph"/>
        <w:numPr>
          <w:ilvl w:val="0"/>
          <w:numId w:val="4"/>
        </w:numPr>
        <w:rPr>
          <w:rFonts w:ascii="Times New Roman" w:hAnsi="Times New Roman" w:cs="Times New Roman"/>
          <w:sz w:val="18"/>
          <w:szCs w:val="18"/>
        </w:rPr>
      </w:pPr>
      <w:r w:rsidRPr="001A16E7">
        <w:rPr>
          <w:rFonts w:ascii="Times New Roman" w:hAnsi="Times New Roman" w:cs="Times New Roman"/>
          <w:sz w:val="18"/>
          <w:szCs w:val="18"/>
        </w:rPr>
        <w:t xml:space="preserve">Initialization. Local effect size and variance estimates are obtained from fitting separate hurdle models at each site and are sent to the local site (1); these estimates are then used in a meta-analysis to produce initial estimates for ODAH (2). </w:t>
      </w:r>
    </w:p>
    <w:p w14:paraId="160E3164" w14:textId="4583F2FC" w:rsidR="00B11BAD" w:rsidRPr="001A16E7" w:rsidRDefault="00B11BAD" w:rsidP="00B11BAD">
      <w:pPr>
        <w:pStyle w:val="ListParagraph"/>
        <w:numPr>
          <w:ilvl w:val="0"/>
          <w:numId w:val="4"/>
        </w:numPr>
        <w:rPr>
          <w:rFonts w:ascii="Times New Roman" w:eastAsiaTheme="minorEastAsia" w:hAnsi="Times New Roman" w:cs="Times New Roman"/>
          <w:color w:val="000000" w:themeColor="text1"/>
          <w:sz w:val="22"/>
          <w:szCs w:val="22"/>
          <w:lang w:eastAsia="zh-CN"/>
        </w:rPr>
      </w:pPr>
      <w:r w:rsidRPr="001A16E7">
        <w:rPr>
          <w:rFonts w:ascii="Times New Roman" w:hAnsi="Times New Roman" w:cs="Times New Roman"/>
          <w:sz w:val="18"/>
          <w:szCs w:val="18"/>
        </w:rPr>
        <w:t xml:space="preserve"> Surrogate likelihood estimation. First- and second-order gradients are computed at each site, evaluated at the initial estimates obtained in step (2) and sent to the local site (3). These gradients are used in conjunction with data from the local site to construct surrogate likelihood functions </w:t>
      </w:r>
      <m:oMath>
        <m:sSub>
          <m:sSubPr>
            <m:ctrlPr>
              <w:rPr>
                <w:rFonts w:ascii="Cambria Math" w:hAnsi="Cambria Math" w:cs="Times New Roman"/>
                <w:i/>
                <w:noProof/>
                <w:sz w:val="18"/>
                <w:szCs w:val="18"/>
                <w:lang w:eastAsia="zh-CN"/>
              </w:rPr>
            </m:ctrlPr>
          </m:sSubPr>
          <m:e>
            <m:acc>
              <m:accPr>
                <m:chr m:val="̃"/>
                <m:ctrlPr>
                  <w:rPr>
                    <w:rFonts w:ascii="Cambria Math" w:hAnsi="Cambria Math" w:cs="Times New Roman"/>
                    <w:i/>
                    <w:noProof/>
                    <w:sz w:val="18"/>
                    <w:szCs w:val="18"/>
                    <w:lang w:eastAsia="zh-CN"/>
                  </w:rPr>
                </m:ctrlPr>
              </m:accPr>
              <m:e>
                <m:r>
                  <w:rPr>
                    <w:rFonts w:ascii="Cambria Math" w:hAnsi="Cambria Math" w:cs="Times New Roman"/>
                    <w:noProof/>
                    <w:sz w:val="18"/>
                    <w:szCs w:val="18"/>
                    <w:lang w:eastAsia="zh-CN"/>
                  </w:rPr>
                  <m:t>L</m:t>
                </m:r>
              </m:e>
            </m:acc>
          </m:e>
          <m:sub>
            <m:r>
              <w:rPr>
                <w:rFonts w:ascii="Cambria Math" w:hAnsi="Cambria Math" w:cs="Times New Roman"/>
                <w:noProof/>
                <w:sz w:val="18"/>
                <w:szCs w:val="18"/>
                <w:lang w:eastAsia="zh-CN"/>
              </w:rPr>
              <m:t>1</m:t>
            </m:r>
          </m:sub>
        </m:sSub>
        <m:d>
          <m:dPr>
            <m:ctrlPr>
              <w:rPr>
                <w:rFonts w:ascii="Cambria Math" w:hAnsi="Cambria Math" w:cs="Times New Roman"/>
                <w:i/>
                <w:noProof/>
                <w:sz w:val="18"/>
                <w:szCs w:val="18"/>
                <w:lang w:eastAsia="zh-CN"/>
              </w:rPr>
            </m:ctrlPr>
          </m:dPr>
          <m:e>
            <m:r>
              <m:rPr>
                <m:sty m:val="bi"/>
              </m:rPr>
              <w:rPr>
                <w:rFonts w:ascii="Cambria Math" w:hAnsi="Cambria Math" w:cs="Times New Roman"/>
                <w:noProof/>
                <w:sz w:val="18"/>
                <w:szCs w:val="18"/>
                <w:lang w:eastAsia="zh-CN"/>
              </w:rPr>
              <m:t>β</m:t>
            </m:r>
          </m:e>
        </m:d>
      </m:oMath>
      <w:r w:rsidRPr="001A16E7">
        <w:rPr>
          <w:rFonts w:ascii="Times New Roman" w:hAnsi="Times New Roman" w:cs="Times New Roman"/>
          <w:sz w:val="18"/>
          <w:szCs w:val="18"/>
          <w:lang w:eastAsia="zh-CN"/>
        </w:rPr>
        <w:t xml:space="preserve"> and </w:t>
      </w:r>
      <m:oMath>
        <m:sSub>
          <m:sSubPr>
            <m:ctrlPr>
              <w:rPr>
                <w:rFonts w:ascii="Cambria Math" w:hAnsi="Cambria Math" w:cs="Times New Roman"/>
                <w:i/>
                <w:noProof/>
                <w:sz w:val="18"/>
                <w:szCs w:val="18"/>
                <w:lang w:eastAsia="zh-CN"/>
              </w:rPr>
            </m:ctrlPr>
          </m:sSubPr>
          <m:e>
            <m:acc>
              <m:accPr>
                <m:chr m:val="̃"/>
                <m:ctrlPr>
                  <w:rPr>
                    <w:rFonts w:ascii="Cambria Math" w:hAnsi="Cambria Math" w:cs="Times New Roman"/>
                    <w:i/>
                    <w:noProof/>
                    <w:sz w:val="18"/>
                    <w:szCs w:val="18"/>
                    <w:lang w:eastAsia="zh-CN"/>
                  </w:rPr>
                </m:ctrlPr>
              </m:accPr>
              <m:e>
                <m:r>
                  <w:rPr>
                    <w:rFonts w:ascii="Cambria Math" w:hAnsi="Cambria Math" w:cs="Times New Roman"/>
                    <w:noProof/>
                    <w:sz w:val="18"/>
                    <w:szCs w:val="18"/>
                    <w:lang w:eastAsia="zh-CN"/>
                  </w:rPr>
                  <m:t>L</m:t>
                </m:r>
              </m:e>
            </m:acc>
          </m:e>
          <m:sub>
            <m:r>
              <w:rPr>
                <w:rFonts w:ascii="Cambria Math" w:hAnsi="Cambria Math" w:cs="Times New Roman"/>
                <w:noProof/>
                <w:sz w:val="18"/>
                <w:szCs w:val="18"/>
                <w:lang w:eastAsia="zh-CN"/>
              </w:rPr>
              <m:t>2</m:t>
            </m:r>
          </m:sub>
        </m:sSub>
        <m:d>
          <m:dPr>
            <m:ctrlPr>
              <w:rPr>
                <w:rFonts w:ascii="Cambria Math" w:hAnsi="Cambria Math" w:cs="Times New Roman"/>
                <w:i/>
                <w:noProof/>
                <w:sz w:val="18"/>
                <w:szCs w:val="18"/>
                <w:lang w:eastAsia="zh-CN"/>
              </w:rPr>
            </m:ctrlPr>
          </m:dPr>
          <m:e>
            <m:r>
              <m:rPr>
                <m:sty m:val="bi"/>
              </m:rPr>
              <w:rPr>
                <w:rFonts w:ascii="Cambria Math" w:hAnsi="Cambria Math" w:cs="Times New Roman"/>
                <w:noProof/>
                <w:sz w:val="18"/>
                <w:szCs w:val="18"/>
                <w:lang w:eastAsia="zh-CN"/>
              </w:rPr>
              <m:t>γ</m:t>
            </m:r>
          </m:e>
        </m:d>
      </m:oMath>
      <w:r w:rsidRPr="001A16E7">
        <w:rPr>
          <w:rFonts w:ascii="Times New Roman" w:hAnsi="Times New Roman" w:cs="Times New Roman"/>
          <w:sz w:val="18"/>
          <w:szCs w:val="18"/>
          <w:lang w:eastAsia="zh-CN"/>
        </w:rPr>
        <w:t xml:space="preserve">, which are then maximized to produce surrogate maximum likelihood estimates </w:t>
      </w:r>
      <m:oMath>
        <m:acc>
          <m:accPr>
            <m:chr m:val="̃"/>
            <m:ctrlPr>
              <w:rPr>
                <w:rFonts w:ascii="Cambria Math" w:hAnsi="Cambria Math" w:cs="Times New Roman"/>
                <w:i/>
                <w:noProof/>
                <w:sz w:val="18"/>
                <w:szCs w:val="18"/>
                <w:lang w:eastAsia="zh-CN"/>
              </w:rPr>
            </m:ctrlPr>
          </m:accPr>
          <m:e>
            <m:r>
              <m:rPr>
                <m:sty m:val="bi"/>
              </m:rPr>
              <w:rPr>
                <w:rFonts w:ascii="Cambria Math" w:hAnsi="Cambria Math" w:cs="Times New Roman"/>
                <w:noProof/>
                <w:sz w:val="18"/>
                <w:szCs w:val="18"/>
                <w:lang w:eastAsia="zh-CN"/>
              </w:rPr>
              <m:t>β</m:t>
            </m:r>
          </m:e>
        </m:acc>
      </m:oMath>
      <w:r w:rsidRPr="001A16E7">
        <w:rPr>
          <w:rFonts w:ascii="Times New Roman" w:eastAsiaTheme="minorEastAsia" w:hAnsi="Times New Roman" w:cs="Times New Roman"/>
          <w:noProof/>
          <w:sz w:val="18"/>
          <w:szCs w:val="18"/>
          <w:lang w:eastAsia="zh-CN"/>
        </w:rPr>
        <w:t xml:space="preserve"> and </w:t>
      </w:r>
      <m:oMath>
        <m:acc>
          <m:accPr>
            <m:chr m:val="̃"/>
            <m:ctrlPr>
              <w:rPr>
                <w:rFonts w:ascii="Cambria Math" w:hAnsi="Cambria Math" w:cs="Times New Roman"/>
                <w:b/>
                <w:i/>
                <w:noProof/>
                <w:sz w:val="18"/>
                <w:szCs w:val="18"/>
                <w:lang w:eastAsia="zh-CN"/>
              </w:rPr>
            </m:ctrlPr>
          </m:accPr>
          <m:e>
            <m:r>
              <m:rPr>
                <m:sty m:val="bi"/>
              </m:rPr>
              <w:rPr>
                <w:rFonts w:ascii="Cambria Math" w:hAnsi="Cambria Math" w:cs="Times New Roman"/>
                <w:noProof/>
                <w:sz w:val="18"/>
                <w:szCs w:val="18"/>
                <w:lang w:eastAsia="zh-CN"/>
              </w:rPr>
              <m:t>γ</m:t>
            </m:r>
          </m:e>
        </m:acc>
      </m:oMath>
      <w:r w:rsidRPr="001A16E7">
        <w:rPr>
          <w:rFonts w:ascii="Times New Roman" w:eastAsiaTheme="minorEastAsia" w:hAnsi="Times New Roman" w:cs="Times New Roman"/>
          <w:noProof/>
          <w:sz w:val="18"/>
          <w:szCs w:val="18"/>
          <w:lang w:eastAsia="zh-CN"/>
        </w:rPr>
        <w:t xml:space="preserve"> (4).</w:t>
      </w:r>
    </w:p>
    <w:p w14:paraId="2AC5048F" w14:textId="77777777" w:rsidR="00B11BAD" w:rsidRPr="00B11BAD" w:rsidRDefault="00B11BAD" w:rsidP="00B11BAD">
      <w:pPr>
        <w:rPr>
          <w:rFonts w:eastAsiaTheme="minorEastAsia"/>
          <w:color w:val="000000" w:themeColor="text1"/>
          <w:sz w:val="22"/>
          <w:szCs w:val="22"/>
          <w:lang w:eastAsia="zh-CN"/>
        </w:rPr>
      </w:pPr>
    </w:p>
    <w:p w14:paraId="2B0544F7" w14:textId="77777777" w:rsidR="00E967A8" w:rsidRDefault="00B11BAD">
      <w:pPr>
        <w:pBdr>
          <w:top w:val="nil"/>
          <w:left w:val="nil"/>
          <w:bottom w:val="nil"/>
          <w:right w:val="nil"/>
          <w:between w:val="nil"/>
        </w:pBdr>
        <w:spacing w:after="120"/>
        <w:jc w:val="both"/>
        <w:rPr>
          <w:rFonts w:eastAsiaTheme="minorEastAsia"/>
          <w:sz w:val="22"/>
          <w:szCs w:val="22"/>
        </w:rPr>
      </w:pPr>
      <w:r w:rsidRPr="00B11BAD">
        <w:rPr>
          <w:rFonts w:eastAsiaTheme="minorEastAsia"/>
          <w:sz w:val="22"/>
          <w:szCs w:val="22"/>
        </w:rPr>
        <w:t>To evaluate ODAH empirically in a controlled setting, we conducted a simulation study to primarily compare the performance of ODAH to that of meta-analysis</w:t>
      </w:r>
      <w:r w:rsidR="00E967A8">
        <w:rPr>
          <w:rFonts w:eastAsiaTheme="minorEastAsia"/>
          <w:sz w:val="22"/>
          <w:szCs w:val="22"/>
        </w:rPr>
        <w:t xml:space="preserve">. </w:t>
      </w:r>
      <w:r w:rsidRPr="00B11BAD">
        <w:rPr>
          <w:rFonts w:eastAsiaTheme="minorEastAsia"/>
          <w:sz w:val="22"/>
          <w:szCs w:val="22"/>
        </w:rPr>
        <w:t>We also compare ODAH performance to that when using only local data and all subject-level data (</w:t>
      </w:r>
      <w:r w:rsidRPr="00B11BAD">
        <w:rPr>
          <w:rFonts w:eastAsiaTheme="minorEastAsia"/>
          <w:i/>
          <w:iCs/>
          <w:sz w:val="22"/>
          <w:szCs w:val="22"/>
        </w:rPr>
        <w:t>pooled</w:t>
      </w:r>
      <w:r w:rsidRPr="00B11BAD">
        <w:rPr>
          <w:rFonts w:eastAsiaTheme="minorEastAsia"/>
          <w:sz w:val="22"/>
          <w:szCs w:val="22"/>
        </w:rPr>
        <w:t xml:space="preserve">, the gold standard). Motivated by our real data application, we sought to examine how varying levels of low outcome prevalence and event rate affect ODAH performance relative to pooled analysis. </w:t>
      </w:r>
      <w:r>
        <w:rPr>
          <w:rFonts w:eastAsiaTheme="minorEastAsia"/>
          <w:sz w:val="22"/>
          <w:szCs w:val="22"/>
        </w:rPr>
        <w:t xml:space="preserve">Performance was measured in terms of </w:t>
      </w:r>
      <w:r w:rsidR="001A16E7">
        <w:rPr>
          <w:rFonts w:eastAsiaTheme="minorEastAsia"/>
          <w:sz w:val="22"/>
          <w:szCs w:val="22"/>
        </w:rPr>
        <w:t>bias relative</w:t>
      </w:r>
      <w:r>
        <w:rPr>
          <w:rFonts w:eastAsiaTheme="minorEastAsia"/>
          <w:sz w:val="22"/>
          <w:szCs w:val="22"/>
        </w:rPr>
        <w:t xml:space="preserve"> to pooled analysis estimates.</w:t>
      </w:r>
    </w:p>
    <w:p w14:paraId="0E38E406" w14:textId="043379E5" w:rsidR="00B11BAD" w:rsidRPr="00E967A8" w:rsidRDefault="00B11BAD">
      <w:pPr>
        <w:pBdr>
          <w:top w:val="nil"/>
          <w:left w:val="nil"/>
          <w:bottom w:val="nil"/>
          <w:right w:val="nil"/>
          <w:between w:val="nil"/>
        </w:pBdr>
        <w:spacing w:after="120"/>
        <w:jc w:val="both"/>
        <w:rPr>
          <w:rFonts w:eastAsiaTheme="minorEastAsia"/>
          <w:sz w:val="22"/>
          <w:szCs w:val="22"/>
        </w:rPr>
      </w:pPr>
      <w:r>
        <w:rPr>
          <w:rFonts w:eastAsiaTheme="minorEastAsia"/>
          <w:sz w:val="22"/>
          <w:szCs w:val="22"/>
        </w:rPr>
        <w:t xml:space="preserve">To examine the performance of ODAH on real world data, we applied our algorithm to EHRs for patients in the CHOP health system, modeling total number of avoidable hospitalizations given a collection of EHR variables. </w:t>
      </w:r>
      <w:r w:rsidRPr="00B11BAD">
        <w:rPr>
          <w:bCs/>
          <w:sz w:val="22"/>
          <w:szCs w:val="22"/>
        </w:rPr>
        <w:t xml:space="preserve">To mimic a scenario in which </w:t>
      </w:r>
      <w:r>
        <w:rPr>
          <w:bCs/>
          <w:sz w:val="22"/>
          <w:szCs w:val="22"/>
        </w:rPr>
        <w:t>individual</w:t>
      </w:r>
      <w:r w:rsidRPr="00B11BAD">
        <w:rPr>
          <w:bCs/>
          <w:sz w:val="22"/>
          <w:szCs w:val="22"/>
        </w:rPr>
        <w:t xml:space="preserve"> sites do not have access to patient-level information at other sites, we assigned patients to the primary care site they attended most during the study period and carried out analysis as if patient-level information could not be shared across sites. In total, patients were assigned to 27 different primary care sites; we selected six of these sites to illustrate our method, made up of 70,818 patients</w:t>
      </w:r>
      <w:r>
        <w:rPr>
          <w:bCs/>
          <w:sz w:val="22"/>
          <w:szCs w:val="22"/>
        </w:rPr>
        <w:t xml:space="preserve">. </w:t>
      </w:r>
    </w:p>
    <w:p w14:paraId="71ECC755" w14:textId="7DB884F6" w:rsidR="00B11BAD" w:rsidRDefault="00B11BAD">
      <w:pPr>
        <w:pBdr>
          <w:top w:val="nil"/>
          <w:left w:val="nil"/>
          <w:bottom w:val="nil"/>
          <w:right w:val="nil"/>
          <w:between w:val="nil"/>
        </w:pBdr>
        <w:spacing w:after="120"/>
        <w:jc w:val="both"/>
        <w:rPr>
          <w:b/>
          <w:sz w:val="22"/>
          <w:szCs w:val="22"/>
        </w:rPr>
      </w:pPr>
      <w:r>
        <w:rPr>
          <w:b/>
          <w:sz w:val="22"/>
          <w:szCs w:val="22"/>
        </w:rPr>
        <w:t>Results</w:t>
      </w:r>
    </w:p>
    <w:p w14:paraId="682B7824" w14:textId="2D195F9B" w:rsidR="00B41521" w:rsidRPr="00B41521" w:rsidRDefault="00B11BAD">
      <w:pPr>
        <w:pBdr>
          <w:top w:val="nil"/>
          <w:left w:val="nil"/>
          <w:bottom w:val="nil"/>
          <w:right w:val="nil"/>
          <w:between w:val="nil"/>
        </w:pBdr>
        <w:spacing w:after="120"/>
        <w:jc w:val="both"/>
        <w:rPr>
          <w:sz w:val="22"/>
          <w:szCs w:val="22"/>
        </w:rPr>
      </w:pPr>
      <w:r>
        <w:rPr>
          <w:bCs/>
          <w:sz w:val="22"/>
          <w:szCs w:val="22"/>
        </w:rPr>
        <w:t>In simulations, ODAH always produced estimates nearly identical to and sometimes more accurate than meta-analysis in terms of relative bias to the pooled estimate</w:t>
      </w:r>
      <w:r w:rsidRPr="00B11BAD">
        <w:rPr>
          <w:bCs/>
          <w:sz w:val="22"/>
          <w:szCs w:val="22"/>
        </w:rPr>
        <w:t>.</w:t>
      </w:r>
      <w:r>
        <w:rPr>
          <w:sz w:val="22"/>
          <w:szCs w:val="22"/>
        </w:rPr>
        <w:t xml:space="preserve"> </w:t>
      </w:r>
      <w:r w:rsidRPr="00B11BAD">
        <w:rPr>
          <w:sz w:val="22"/>
          <w:szCs w:val="22"/>
        </w:rPr>
        <w:t xml:space="preserve">ODAH estimates exhibited bias relative to the gold standard of less than 0.1% across </w:t>
      </w:r>
      <w:r>
        <w:rPr>
          <w:sz w:val="22"/>
          <w:szCs w:val="22"/>
        </w:rPr>
        <w:t>all</w:t>
      </w:r>
      <w:r w:rsidR="00B41521">
        <w:rPr>
          <w:sz w:val="22"/>
          <w:szCs w:val="22"/>
        </w:rPr>
        <w:t xml:space="preserve"> ten unique</w:t>
      </w:r>
      <w:r w:rsidRPr="00B11BAD">
        <w:rPr>
          <w:sz w:val="22"/>
          <w:szCs w:val="22"/>
        </w:rPr>
        <w:t xml:space="preserve"> settings</w:t>
      </w:r>
      <w:r w:rsidR="00B41521">
        <w:rPr>
          <w:sz w:val="22"/>
          <w:szCs w:val="22"/>
        </w:rPr>
        <w:t xml:space="preserve"> examined</w:t>
      </w:r>
      <w:r w:rsidRPr="00B11BAD">
        <w:rPr>
          <w:sz w:val="22"/>
          <w:szCs w:val="22"/>
        </w:rPr>
        <w:t>.</w:t>
      </w:r>
      <w:r>
        <w:rPr>
          <w:sz w:val="22"/>
          <w:szCs w:val="22"/>
        </w:rPr>
        <w:t xml:space="preserve"> Conversely</w:t>
      </w:r>
      <w:r w:rsidRPr="00B11BAD">
        <w:rPr>
          <w:sz w:val="22"/>
          <w:szCs w:val="22"/>
        </w:rPr>
        <w:t>, meta-analysis estimate</w:t>
      </w:r>
      <w:r>
        <w:rPr>
          <w:sz w:val="22"/>
          <w:szCs w:val="22"/>
        </w:rPr>
        <w:t>s</w:t>
      </w:r>
      <w:r w:rsidRPr="00B11BAD">
        <w:rPr>
          <w:sz w:val="22"/>
          <w:szCs w:val="22"/>
        </w:rPr>
        <w:t xml:space="preserve"> exhibited relative bias up to 12.7%, largely dependent on the event rate</w:t>
      </w:r>
      <w:r w:rsidR="00B41521">
        <w:rPr>
          <w:sz w:val="22"/>
          <w:szCs w:val="22"/>
        </w:rPr>
        <w:t>; as event rates decreased, meta-analysis bias relative to pooled analysis increased.</w:t>
      </w:r>
      <w:r w:rsidR="00E967A8">
        <w:rPr>
          <w:sz w:val="22"/>
          <w:szCs w:val="22"/>
        </w:rPr>
        <w:t xml:space="preserve"> </w:t>
      </w:r>
      <w:r w:rsidR="00B41521">
        <w:rPr>
          <w:sz w:val="22"/>
          <w:szCs w:val="22"/>
        </w:rPr>
        <w:t xml:space="preserve">Data analysis results are summarized in Figure 2. </w:t>
      </w:r>
      <w:r w:rsidR="00B41521" w:rsidRPr="00B41521">
        <w:rPr>
          <w:sz w:val="22"/>
          <w:szCs w:val="22"/>
        </w:rPr>
        <w:t>ODAH relative bias ranged from 0.08% to 5.02% in the logistic component and less than 0.5% in the Poisson component. In contrast, relative biases for meta-analysis ranged from 4.15% to 63.6% for the logistic component and from 5.89% to 11.7% for the Poisson component.</w:t>
      </w:r>
    </w:p>
    <w:p w14:paraId="5D309C2C" w14:textId="53575F5A" w:rsidR="00B41521" w:rsidRPr="00B11BAD" w:rsidRDefault="00B41521" w:rsidP="00B41521">
      <w:pPr>
        <w:pBdr>
          <w:top w:val="nil"/>
          <w:left w:val="nil"/>
          <w:bottom w:val="nil"/>
          <w:right w:val="nil"/>
          <w:between w:val="nil"/>
        </w:pBdr>
        <w:spacing w:after="120"/>
        <w:jc w:val="center"/>
        <w:rPr>
          <w:rFonts w:eastAsia="Calibri"/>
          <w:bCs/>
          <w:sz w:val="22"/>
          <w:szCs w:val="22"/>
        </w:rPr>
      </w:pPr>
      <w:r>
        <w:rPr>
          <w:rFonts w:eastAsia="Calibri"/>
          <w:bCs/>
          <w:noProof/>
          <w:sz w:val="22"/>
          <w:szCs w:val="22"/>
        </w:rPr>
        <w:lastRenderedPageBreak/>
        <w:drawing>
          <wp:inline distT="0" distB="0" distL="0" distR="0" wp14:anchorId="59F1D064" wp14:editId="03A2C3AE">
            <wp:extent cx="2267112" cy="293392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nalysis_plots_combined.pd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67112" cy="2933924"/>
                    </a:xfrm>
                    <a:prstGeom prst="rect">
                      <a:avLst/>
                    </a:prstGeom>
                  </pic:spPr>
                </pic:pic>
              </a:graphicData>
            </a:graphic>
          </wp:inline>
        </w:drawing>
      </w:r>
    </w:p>
    <w:p w14:paraId="44331F89" w14:textId="1387DD2E" w:rsidR="00B11BAD" w:rsidRDefault="00B41521" w:rsidP="00B41521">
      <w:pPr>
        <w:rPr>
          <w:color w:val="000000" w:themeColor="text1"/>
          <w:sz w:val="18"/>
          <w:szCs w:val="18"/>
        </w:rPr>
      </w:pPr>
      <w:r w:rsidRPr="00B41521">
        <w:rPr>
          <w:bCs/>
          <w:color w:val="000000" w:themeColor="text1"/>
          <w:sz w:val="18"/>
          <w:szCs w:val="18"/>
        </w:rPr>
        <w:t xml:space="preserve">Figure </w:t>
      </w:r>
      <w:r>
        <w:rPr>
          <w:bCs/>
          <w:color w:val="000000" w:themeColor="text1"/>
          <w:sz w:val="18"/>
          <w:szCs w:val="18"/>
        </w:rPr>
        <w:t>2</w:t>
      </w:r>
      <w:r w:rsidRPr="00B41521">
        <w:rPr>
          <w:bCs/>
          <w:color w:val="000000" w:themeColor="text1"/>
          <w:sz w:val="18"/>
          <w:szCs w:val="18"/>
        </w:rPr>
        <w:t>. Log odds ratio (A) and log relative risk (B) estimates (along with corresponding 95% confidence intervals) for each covariate in the fitted hurdle model. Dashed horizontal line represents pooled estimate, our gold standard for comparing methods.</w:t>
      </w:r>
    </w:p>
    <w:p w14:paraId="5E3CFA70" w14:textId="77777777" w:rsidR="00B41521" w:rsidRPr="00B41521" w:rsidRDefault="00B41521" w:rsidP="00B41521">
      <w:pPr>
        <w:rPr>
          <w:color w:val="000000" w:themeColor="text1"/>
          <w:sz w:val="18"/>
          <w:szCs w:val="18"/>
        </w:rPr>
      </w:pPr>
    </w:p>
    <w:p w14:paraId="66E4FF93" w14:textId="77777777" w:rsidR="00B41521" w:rsidRPr="00B41521" w:rsidRDefault="00B41521" w:rsidP="00B41521">
      <w:pPr>
        <w:pBdr>
          <w:top w:val="nil"/>
          <w:left w:val="nil"/>
          <w:bottom w:val="nil"/>
          <w:right w:val="nil"/>
          <w:between w:val="nil"/>
        </w:pBdr>
        <w:spacing w:after="120"/>
        <w:jc w:val="both"/>
        <w:rPr>
          <w:rFonts w:eastAsia="Calibri"/>
          <w:b/>
          <w:sz w:val="22"/>
          <w:szCs w:val="22"/>
        </w:rPr>
      </w:pPr>
      <w:r w:rsidRPr="00B41521">
        <w:rPr>
          <w:rFonts w:eastAsia="Calibri"/>
          <w:b/>
          <w:sz w:val="22"/>
          <w:szCs w:val="22"/>
        </w:rPr>
        <w:t>Conclusions</w:t>
      </w:r>
    </w:p>
    <w:p w14:paraId="01DBF419" w14:textId="4B1A51E6" w:rsidR="00083668" w:rsidRPr="001A16E7" w:rsidRDefault="00B41521" w:rsidP="001A16E7">
      <w:pPr>
        <w:pBdr>
          <w:top w:val="nil"/>
          <w:left w:val="nil"/>
          <w:bottom w:val="nil"/>
          <w:right w:val="nil"/>
          <w:between w:val="nil"/>
        </w:pBdr>
        <w:spacing w:after="120"/>
        <w:jc w:val="both"/>
        <w:rPr>
          <w:rFonts w:asciiTheme="majorHAnsi" w:eastAsia="Calibri" w:hAnsiTheme="majorHAnsi" w:cstheme="majorHAnsi"/>
          <w:b/>
          <w:sz w:val="36"/>
          <w:szCs w:val="36"/>
        </w:rPr>
      </w:pPr>
      <w:r w:rsidRPr="00B41521">
        <w:rPr>
          <w:sz w:val="22"/>
          <w:szCs w:val="22"/>
        </w:rPr>
        <w:t xml:space="preserve">As demonstrated by simulations and a real-world EHR application, </w:t>
      </w:r>
      <w:r w:rsidR="00083668">
        <w:rPr>
          <w:sz w:val="22"/>
          <w:szCs w:val="22"/>
        </w:rPr>
        <w:t>our method</w:t>
      </w:r>
      <w:r w:rsidRPr="00B41521">
        <w:rPr>
          <w:sz w:val="22"/>
          <w:szCs w:val="22"/>
        </w:rPr>
        <w:t xml:space="preserve"> consistently produced parameter estimates comparable to and sometimes better than those produced by meta-analysis. Our method’s utility is especially evident in settings featuring a count outcome with severe zero-inflation and very low event rate, as we demonstrated the tendency of only meta-analysis to produce biased estimates under these circumstances.</w:t>
      </w:r>
      <w:r w:rsidR="00083668">
        <w:rPr>
          <w:sz w:val="22"/>
          <w:szCs w:val="22"/>
        </w:rPr>
        <w:t xml:space="preserve"> </w:t>
      </w:r>
      <w:r w:rsidR="00083668" w:rsidRPr="00083668">
        <w:rPr>
          <w:sz w:val="22"/>
          <w:szCs w:val="22"/>
        </w:rPr>
        <w:t>As our group continues to develop a collection of privacy-preserving algorithms</w:t>
      </w:r>
      <w:r w:rsidR="001A16E7">
        <w:rPr>
          <w:sz w:val="22"/>
          <w:szCs w:val="22"/>
        </w:rPr>
        <w:t xml:space="preserve"> for distributed learning</w:t>
      </w:r>
      <w:r w:rsidR="00083668" w:rsidRPr="00083668">
        <w:rPr>
          <w:sz w:val="22"/>
          <w:szCs w:val="22"/>
        </w:rPr>
        <w:t xml:space="preserve">, we believe ODAH is </w:t>
      </w:r>
      <w:r w:rsidR="00E967A8">
        <w:rPr>
          <w:sz w:val="22"/>
          <w:szCs w:val="22"/>
        </w:rPr>
        <w:t>a worthy alternative to meta-analysis</w:t>
      </w:r>
      <w:r w:rsidR="00083668" w:rsidRPr="00083668">
        <w:rPr>
          <w:sz w:val="22"/>
          <w:szCs w:val="22"/>
        </w:rPr>
        <w:t xml:space="preserve"> when one seeks to </w:t>
      </w:r>
      <w:r w:rsidR="00E967A8">
        <w:rPr>
          <w:sz w:val="22"/>
          <w:szCs w:val="22"/>
        </w:rPr>
        <w:t>model multi-site</w:t>
      </w:r>
      <w:r w:rsidR="00083668" w:rsidRPr="00083668">
        <w:rPr>
          <w:sz w:val="22"/>
          <w:szCs w:val="22"/>
        </w:rPr>
        <w:t xml:space="preserve"> zero-inflated count </w:t>
      </w:r>
      <w:r w:rsidR="00E967A8">
        <w:rPr>
          <w:sz w:val="22"/>
          <w:szCs w:val="22"/>
        </w:rPr>
        <w:t>outcomes.</w:t>
      </w:r>
    </w:p>
    <w:p w14:paraId="765E7ACC" w14:textId="56FB4D93" w:rsidR="00257053" w:rsidRPr="00E967A8" w:rsidRDefault="00A42246" w:rsidP="00083668">
      <w:pPr>
        <w:pBdr>
          <w:top w:val="nil"/>
          <w:left w:val="nil"/>
          <w:bottom w:val="nil"/>
          <w:right w:val="nil"/>
          <w:between w:val="nil"/>
        </w:pBdr>
        <w:spacing w:after="120"/>
        <w:jc w:val="center"/>
        <w:rPr>
          <w:rFonts w:eastAsia="Calibri"/>
          <w:b/>
          <w:sz w:val="22"/>
          <w:szCs w:val="22"/>
        </w:rPr>
      </w:pPr>
      <w:r w:rsidRPr="00E967A8">
        <w:rPr>
          <w:rFonts w:eastAsia="Calibri"/>
          <w:b/>
          <w:color w:val="000000"/>
          <w:sz w:val="22"/>
          <w:szCs w:val="22"/>
        </w:rPr>
        <w:t>Refer</w:t>
      </w:r>
      <w:r w:rsidR="00B41521" w:rsidRPr="00E967A8">
        <w:rPr>
          <w:rFonts w:eastAsia="Calibri"/>
          <w:b/>
          <w:color w:val="000000"/>
          <w:sz w:val="22"/>
          <w:szCs w:val="22"/>
        </w:rPr>
        <w:t>e</w:t>
      </w:r>
      <w:r w:rsidRPr="00E967A8">
        <w:rPr>
          <w:rFonts w:eastAsia="Calibri"/>
          <w:b/>
          <w:color w:val="000000"/>
          <w:sz w:val="22"/>
          <w:szCs w:val="22"/>
        </w:rPr>
        <w:t>nces</w:t>
      </w:r>
    </w:p>
    <w:p w14:paraId="50399EC1" w14:textId="76340CF1" w:rsidR="00B11BAD" w:rsidRPr="00E967A8" w:rsidRDefault="00B11BAD">
      <w:pPr>
        <w:numPr>
          <w:ilvl w:val="0"/>
          <w:numId w:val="1"/>
        </w:numPr>
        <w:pBdr>
          <w:top w:val="nil"/>
          <w:left w:val="nil"/>
          <w:bottom w:val="nil"/>
          <w:right w:val="nil"/>
          <w:between w:val="nil"/>
        </w:pBdr>
        <w:jc w:val="both"/>
        <w:rPr>
          <w:rFonts w:eastAsia="Calibri"/>
          <w:sz w:val="22"/>
          <w:szCs w:val="22"/>
        </w:rPr>
      </w:pPr>
      <w:r w:rsidRPr="00E967A8">
        <w:t xml:space="preserve">Friedman CP, Wong AK, Blumenthal D. Achieving a nationwide learning health system. </w:t>
      </w:r>
      <w:r w:rsidRPr="00E967A8">
        <w:rPr>
          <w:i/>
        </w:rPr>
        <w:t xml:space="preserve">Sci </w:t>
      </w:r>
      <w:proofErr w:type="spellStart"/>
      <w:r w:rsidRPr="00E967A8">
        <w:rPr>
          <w:i/>
        </w:rPr>
        <w:t>Transl</w:t>
      </w:r>
      <w:proofErr w:type="spellEnd"/>
      <w:r w:rsidRPr="00E967A8">
        <w:rPr>
          <w:i/>
        </w:rPr>
        <w:t xml:space="preserve"> Med.</w:t>
      </w:r>
      <w:r w:rsidRPr="00E967A8">
        <w:t xml:space="preserve"> 2010;2: 57cm29.</w:t>
      </w:r>
    </w:p>
    <w:p w14:paraId="45E16034" w14:textId="244910EF" w:rsidR="00B11BAD" w:rsidRPr="00E967A8" w:rsidRDefault="00B11BAD">
      <w:pPr>
        <w:numPr>
          <w:ilvl w:val="0"/>
          <w:numId w:val="1"/>
        </w:numPr>
        <w:pBdr>
          <w:top w:val="nil"/>
          <w:left w:val="nil"/>
          <w:bottom w:val="nil"/>
          <w:right w:val="nil"/>
          <w:between w:val="nil"/>
        </w:pBdr>
        <w:jc w:val="both"/>
        <w:rPr>
          <w:rFonts w:eastAsia="Calibri"/>
          <w:color w:val="000000" w:themeColor="text1"/>
          <w:sz w:val="22"/>
          <w:szCs w:val="22"/>
        </w:rPr>
      </w:pPr>
      <w:proofErr w:type="spellStart"/>
      <w:r w:rsidRPr="00E967A8">
        <w:rPr>
          <w:color w:val="000000" w:themeColor="text1"/>
          <w:shd w:val="clear" w:color="auto" w:fill="FFFFFF"/>
        </w:rPr>
        <w:t>Vashisht</w:t>
      </w:r>
      <w:proofErr w:type="spellEnd"/>
      <w:r w:rsidRPr="00E967A8">
        <w:rPr>
          <w:color w:val="000000" w:themeColor="text1"/>
          <w:shd w:val="clear" w:color="auto" w:fill="FFFFFF"/>
        </w:rPr>
        <w:t xml:space="preserve"> R, Jung K, Schuler A, Banda JM, Park RW, </w:t>
      </w:r>
      <w:proofErr w:type="spellStart"/>
      <w:r w:rsidRPr="00E967A8">
        <w:rPr>
          <w:color w:val="000000" w:themeColor="text1"/>
          <w:shd w:val="clear" w:color="auto" w:fill="FFFFFF"/>
        </w:rPr>
        <w:t>Jin</w:t>
      </w:r>
      <w:proofErr w:type="spellEnd"/>
      <w:r w:rsidRPr="00E967A8">
        <w:rPr>
          <w:color w:val="000000" w:themeColor="text1"/>
          <w:shd w:val="clear" w:color="auto" w:fill="FFFFFF"/>
        </w:rPr>
        <w:t xml:space="preserve"> S, Li L, Dudley JT, Johnson KW, </w:t>
      </w:r>
      <w:proofErr w:type="spellStart"/>
      <w:r w:rsidRPr="00E967A8">
        <w:rPr>
          <w:color w:val="000000" w:themeColor="text1"/>
          <w:shd w:val="clear" w:color="auto" w:fill="FFFFFF"/>
        </w:rPr>
        <w:t>Shervey</w:t>
      </w:r>
      <w:proofErr w:type="spellEnd"/>
      <w:r w:rsidRPr="00E967A8">
        <w:rPr>
          <w:color w:val="000000" w:themeColor="text1"/>
          <w:shd w:val="clear" w:color="auto" w:fill="FFFFFF"/>
        </w:rPr>
        <w:t xml:space="preserve"> MM, Xu H. Association of hemoglobin A1c levels with use of sulfonylureas, dipeptidyl peptidase 4 inhibitors, and thiazolidinediones in patients with type 2 diabetes treated with metformin: analysis from the observational health data sciences and informatics initiative. JAMA network open. 2018 Aug 3;1(4</w:t>
      </w:r>
      <w:proofErr w:type="gramStart"/>
      <w:r w:rsidRPr="00E967A8">
        <w:rPr>
          <w:color w:val="000000" w:themeColor="text1"/>
          <w:shd w:val="clear" w:color="auto" w:fill="FFFFFF"/>
        </w:rPr>
        <w:t>):e</w:t>
      </w:r>
      <w:proofErr w:type="gramEnd"/>
      <w:r w:rsidRPr="00E967A8">
        <w:rPr>
          <w:color w:val="000000" w:themeColor="text1"/>
          <w:shd w:val="clear" w:color="auto" w:fill="FFFFFF"/>
        </w:rPr>
        <w:t>181755-.</w:t>
      </w:r>
    </w:p>
    <w:p w14:paraId="221B5A99" w14:textId="3FCCE0BD" w:rsidR="00B11BAD" w:rsidRPr="00E967A8" w:rsidRDefault="00B11BAD">
      <w:pPr>
        <w:numPr>
          <w:ilvl w:val="0"/>
          <w:numId w:val="1"/>
        </w:numPr>
        <w:pBdr>
          <w:top w:val="nil"/>
          <w:left w:val="nil"/>
          <w:bottom w:val="nil"/>
          <w:right w:val="nil"/>
          <w:between w:val="nil"/>
        </w:pBdr>
        <w:jc w:val="both"/>
        <w:rPr>
          <w:rFonts w:eastAsia="Calibri"/>
          <w:color w:val="000000" w:themeColor="text1"/>
          <w:sz w:val="22"/>
          <w:szCs w:val="22"/>
        </w:rPr>
      </w:pPr>
      <w:r w:rsidRPr="00E967A8">
        <w:rPr>
          <w:color w:val="000000" w:themeColor="text1"/>
          <w:shd w:val="clear" w:color="auto" w:fill="FFFFFF"/>
        </w:rPr>
        <w:t xml:space="preserve">Duke JD, Ryan PB, </w:t>
      </w:r>
      <w:proofErr w:type="spellStart"/>
      <w:r w:rsidRPr="00E967A8">
        <w:rPr>
          <w:color w:val="000000" w:themeColor="text1"/>
          <w:shd w:val="clear" w:color="auto" w:fill="FFFFFF"/>
        </w:rPr>
        <w:t>Suchard</w:t>
      </w:r>
      <w:proofErr w:type="spellEnd"/>
      <w:r w:rsidRPr="00E967A8">
        <w:rPr>
          <w:color w:val="000000" w:themeColor="text1"/>
          <w:shd w:val="clear" w:color="auto" w:fill="FFFFFF"/>
        </w:rPr>
        <w:t xml:space="preserve"> MA, </w:t>
      </w:r>
      <w:proofErr w:type="spellStart"/>
      <w:r w:rsidRPr="00E967A8">
        <w:rPr>
          <w:color w:val="000000" w:themeColor="text1"/>
          <w:shd w:val="clear" w:color="auto" w:fill="FFFFFF"/>
        </w:rPr>
        <w:t>Hripcsak</w:t>
      </w:r>
      <w:proofErr w:type="spellEnd"/>
      <w:r w:rsidRPr="00E967A8">
        <w:rPr>
          <w:color w:val="000000" w:themeColor="text1"/>
          <w:shd w:val="clear" w:color="auto" w:fill="FFFFFF"/>
        </w:rPr>
        <w:t xml:space="preserve"> G, </w:t>
      </w:r>
      <w:proofErr w:type="spellStart"/>
      <w:r w:rsidRPr="00E967A8">
        <w:rPr>
          <w:color w:val="000000" w:themeColor="text1"/>
          <w:shd w:val="clear" w:color="auto" w:fill="FFFFFF"/>
        </w:rPr>
        <w:t>Jin</w:t>
      </w:r>
      <w:proofErr w:type="spellEnd"/>
      <w:r w:rsidRPr="00E967A8">
        <w:rPr>
          <w:color w:val="000000" w:themeColor="text1"/>
          <w:shd w:val="clear" w:color="auto" w:fill="FFFFFF"/>
        </w:rPr>
        <w:t xml:space="preserve"> P, Reich C, </w:t>
      </w:r>
      <w:proofErr w:type="spellStart"/>
      <w:r w:rsidRPr="00E967A8">
        <w:rPr>
          <w:color w:val="000000" w:themeColor="text1"/>
          <w:shd w:val="clear" w:color="auto" w:fill="FFFFFF"/>
        </w:rPr>
        <w:t>Schwalm</w:t>
      </w:r>
      <w:proofErr w:type="spellEnd"/>
      <w:r w:rsidRPr="00E967A8">
        <w:rPr>
          <w:color w:val="000000" w:themeColor="text1"/>
          <w:shd w:val="clear" w:color="auto" w:fill="FFFFFF"/>
        </w:rPr>
        <w:t xml:space="preserve"> MS, </w:t>
      </w:r>
      <w:proofErr w:type="spellStart"/>
      <w:r w:rsidRPr="00E967A8">
        <w:rPr>
          <w:color w:val="000000" w:themeColor="text1"/>
          <w:shd w:val="clear" w:color="auto" w:fill="FFFFFF"/>
        </w:rPr>
        <w:t>Khoma</w:t>
      </w:r>
      <w:proofErr w:type="spellEnd"/>
      <w:r w:rsidRPr="00E967A8">
        <w:rPr>
          <w:color w:val="000000" w:themeColor="text1"/>
          <w:shd w:val="clear" w:color="auto" w:fill="FFFFFF"/>
        </w:rPr>
        <w:t xml:space="preserve"> Y, Wu Y, Xu H, Shah NH. Risk of angioedema associated with levetiracetam compared with phenytoin: Findings of the observational health data sciences and informatics research network. </w:t>
      </w:r>
      <w:proofErr w:type="spellStart"/>
      <w:r w:rsidRPr="00E967A8">
        <w:rPr>
          <w:color w:val="000000" w:themeColor="text1"/>
          <w:shd w:val="clear" w:color="auto" w:fill="FFFFFF"/>
        </w:rPr>
        <w:t>Epilepsia</w:t>
      </w:r>
      <w:proofErr w:type="spellEnd"/>
      <w:r w:rsidRPr="00E967A8">
        <w:rPr>
          <w:color w:val="000000" w:themeColor="text1"/>
          <w:shd w:val="clear" w:color="auto" w:fill="FFFFFF"/>
        </w:rPr>
        <w:t>. 2017 Aug;58(8</w:t>
      </w:r>
      <w:proofErr w:type="gramStart"/>
      <w:r w:rsidRPr="00E967A8">
        <w:rPr>
          <w:color w:val="000000" w:themeColor="text1"/>
          <w:shd w:val="clear" w:color="auto" w:fill="FFFFFF"/>
        </w:rPr>
        <w:t>):e</w:t>
      </w:r>
      <w:proofErr w:type="gramEnd"/>
      <w:r w:rsidRPr="00E967A8">
        <w:rPr>
          <w:color w:val="000000" w:themeColor="text1"/>
          <w:shd w:val="clear" w:color="auto" w:fill="FFFFFF"/>
        </w:rPr>
        <w:t>101-6.</w:t>
      </w:r>
    </w:p>
    <w:p w14:paraId="31D69844" w14:textId="02D74774" w:rsidR="00B11BAD" w:rsidRPr="00E967A8" w:rsidRDefault="00B11BAD">
      <w:pPr>
        <w:numPr>
          <w:ilvl w:val="0"/>
          <w:numId w:val="1"/>
        </w:numPr>
        <w:pBdr>
          <w:top w:val="nil"/>
          <w:left w:val="nil"/>
          <w:bottom w:val="nil"/>
          <w:right w:val="nil"/>
          <w:between w:val="nil"/>
        </w:pBdr>
        <w:jc w:val="both"/>
        <w:rPr>
          <w:rFonts w:eastAsia="Calibri"/>
          <w:color w:val="000000" w:themeColor="text1"/>
          <w:sz w:val="22"/>
          <w:szCs w:val="22"/>
        </w:rPr>
      </w:pPr>
      <w:proofErr w:type="spellStart"/>
      <w:r w:rsidRPr="00E967A8">
        <w:rPr>
          <w:color w:val="000000" w:themeColor="text1"/>
          <w:shd w:val="clear" w:color="auto" w:fill="FFFFFF"/>
        </w:rPr>
        <w:t>Hripcsak</w:t>
      </w:r>
      <w:proofErr w:type="spellEnd"/>
      <w:r w:rsidRPr="00E967A8">
        <w:rPr>
          <w:color w:val="000000" w:themeColor="text1"/>
          <w:shd w:val="clear" w:color="auto" w:fill="FFFFFF"/>
        </w:rPr>
        <w:t xml:space="preserve"> G, Ryan PB, Duke JD, Shah NH, Park RW, </w:t>
      </w:r>
      <w:proofErr w:type="spellStart"/>
      <w:r w:rsidRPr="00E967A8">
        <w:rPr>
          <w:color w:val="000000" w:themeColor="text1"/>
          <w:shd w:val="clear" w:color="auto" w:fill="FFFFFF"/>
        </w:rPr>
        <w:t>Huser</w:t>
      </w:r>
      <w:proofErr w:type="spellEnd"/>
      <w:r w:rsidRPr="00E967A8">
        <w:rPr>
          <w:color w:val="000000" w:themeColor="text1"/>
          <w:shd w:val="clear" w:color="auto" w:fill="FFFFFF"/>
        </w:rPr>
        <w:t xml:space="preserve"> V, </w:t>
      </w:r>
      <w:proofErr w:type="spellStart"/>
      <w:r w:rsidRPr="00E967A8">
        <w:rPr>
          <w:color w:val="000000" w:themeColor="text1"/>
          <w:shd w:val="clear" w:color="auto" w:fill="FFFFFF"/>
        </w:rPr>
        <w:t>Suchard</w:t>
      </w:r>
      <w:proofErr w:type="spellEnd"/>
      <w:r w:rsidRPr="00E967A8">
        <w:rPr>
          <w:color w:val="000000" w:themeColor="text1"/>
          <w:shd w:val="clear" w:color="auto" w:fill="FFFFFF"/>
        </w:rPr>
        <w:t xml:space="preserve"> MA, </w:t>
      </w:r>
      <w:proofErr w:type="spellStart"/>
      <w:r w:rsidRPr="00E967A8">
        <w:rPr>
          <w:color w:val="000000" w:themeColor="text1"/>
          <w:shd w:val="clear" w:color="auto" w:fill="FFFFFF"/>
        </w:rPr>
        <w:t>Schuemie</w:t>
      </w:r>
      <w:proofErr w:type="spellEnd"/>
      <w:r w:rsidRPr="00E967A8">
        <w:rPr>
          <w:color w:val="000000" w:themeColor="text1"/>
          <w:shd w:val="clear" w:color="auto" w:fill="FFFFFF"/>
        </w:rPr>
        <w:t xml:space="preserve"> MJ, </w:t>
      </w:r>
      <w:proofErr w:type="spellStart"/>
      <w:r w:rsidRPr="00E967A8">
        <w:rPr>
          <w:color w:val="000000" w:themeColor="text1"/>
          <w:shd w:val="clear" w:color="auto" w:fill="FFFFFF"/>
        </w:rPr>
        <w:t>DeFalco</w:t>
      </w:r>
      <w:proofErr w:type="spellEnd"/>
      <w:r w:rsidRPr="00E967A8">
        <w:rPr>
          <w:color w:val="000000" w:themeColor="text1"/>
          <w:shd w:val="clear" w:color="auto" w:fill="FFFFFF"/>
        </w:rPr>
        <w:t xml:space="preserve"> FJ, </w:t>
      </w:r>
      <w:proofErr w:type="spellStart"/>
      <w:r w:rsidRPr="00E967A8">
        <w:rPr>
          <w:color w:val="000000" w:themeColor="text1"/>
          <w:shd w:val="clear" w:color="auto" w:fill="FFFFFF"/>
        </w:rPr>
        <w:t>Perotte</w:t>
      </w:r>
      <w:proofErr w:type="spellEnd"/>
      <w:r w:rsidRPr="00E967A8">
        <w:rPr>
          <w:color w:val="000000" w:themeColor="text1"/>
          <w:shd w:val="clear" w:color="auto" w:fill="FFFFFF"/>
        </w:rPr>
        <w:t xml:space="preserve"> A, Banda JM. Characterizing treatment pathways at scale using the OHDSI network. Proceedings of the National Academy of Sciences. 2016 Jul 5;113(27):7329-36.</w:t>
      </w:r>
    </w:p>
    <w:p w14:paraId="17DCCE7D" w14:textId="4EBD363C" w:rsidR="00E967A8" w:rsidRPr="00E967A8" w:rsidRDefault="00E967A8" w:rsidP="00E967A8">
      <w:pPr>
        <w:pStyle w:val="ListParagraph"/>
        <w:numPr>
          <w:ilvl w:val="0"/>
          <w:numId w:val="1"/>
        </w:numPr>
        <w:rPr>
          <w:rFonts w:ascii="Times New Roman" w:hAnsi="Times New Roman" w:cs="Times New Roman"/>
          <w:color w:val="000000" w:themeColor="text1"/>
          <w:sz w:val="20"/>
          <w:szCs w:val="20"/>
        </w:rPr>
      </w:pPr>
      <w:r w:rsidRPr="00E967A8">
        <w:rPr>
          <w:rFonts w:ascii="Times New Roman" w:hAnsi="Times New Roman" w:cs="Times New Roman"/>
          <w:color w:val="000000" w:themeColor="text1"/>
          <w:sz w:val="20"/>
          <w:szCs w:val="20"/>
          <w:shd w:val="clear" w:color="auto" w:fill="FFFFFF"/>
        </w:rPr>
        <w:t xml:space="preserve">Duan R, Luo C, </w:t>
      </w:r>
      <w:proofErr w:type="spellStart"/>
      <w:r w:rsidRPr="00E967A8">
        <w:rPr>
          <w:rFonts w:ascii="Times New Roman" w:hAnsi="Times New Roman" w:cs="Times New Roman"/>
          <w:color w:val="000000" w:themeColor="text1"/>
          <w:sz w:val="20"/>
          <w:szCs w:val="20"/>
          <w:shd w:val="clear" w:color="auto" w:fill="FFFFFF"/>
        </w:rPr>
        <w:t>Schuemie</w:t>
      </w:r>
      <w:proofErr w:type="spellEnd"/>
      <w:r w:rsidRPr="00E967A8">
        <w:rPr>
          <w:rFonts w:ascii="Times New Roman" w:hAnsi="Times New Roman" w:cs="Times New Roman"/>
          <w:color w:val="000000" w:themeColor="text1"/>
          <w:sz w:val="20"/>
          <w:szCs w:val="20"/>
          <w:shd w:val="clear" w:color="auto" w:fill="FFFFFF"/>
        </w:rPr>
        <w:t xml:space="preserve"> MJ, Tong J, Liang CJ, Chang HH, Boland MR, </w:t>
      </w:r>
      <w:proofErr w:type="spellStart"/>
      <w:r w:rsidRPr="00E967A8">
        <w:rPr>
          <w:rFonts w:ascii="Times New Roman" w:hAnsi="Times New Roman" w:cs="Times New Roman"/>
          <w:color w:val="000000" w:themeColor="text1"/>
          <w:sz w:val="20"/>
          <w:szCs w:val="20"/>
          <w:shd w:val="clear" w:color="auto" w:fill="FFFFFF"/>
        </w:rPr>
        <w:t>Bian</w:t>
      </w:r>
      <w:proofErr w:type="spellEnd"/>
      <w:r w:rsidRPr="00E967A8">
        <w:rPr>
          <w:rFonts w:ascii="Times New Roman" w:hAnsi="Times New Roman" w:cs="Times New Roman"/>
          <w:color w:val="000000" w:themeColor="text1"/>
          <w:sz w:val="20"/>
          <w:szCs w:val="20"/>
          <w:shd w:val="clear" w:color="auto" w:fill="FFFFFF"/>
        </w:rPr>
        <w:t xml:space="preserve"> J, Xu H, Holmes JH, Forrest CB, Morton SC, Berlin JA, Moore JH, Mahoney KB, Chen Y. Learning from local to global: An efficient distributed algorithm for modeling time-to-event data.</w:t>
      </w:r>
      <w:r w:rsidRPr="00E967A8">
        <w:rPr>
          <w:rStyle w:val="apple-converted-space"/>
          <w:rFonts w:ascii="Times New Roman" w:hAnsi="Times New Roman" w:cs="Times New Roman"/>
          <w:color w:val="000000" w:themeColor="text1"/>
          <w:sz w:val="20"/>
          <w:szCs w:val="20"/>
          <w:shd w:val="clear" w:color="auto" w:fill="FFFFFF"/>
        </w:rPr>
        <w:t> </w:t>
      </w:r>
      <w:r w:rsidRPr="00E967A8">
        <w:rPr>
          <w:rStyle w:val="Emphasis"/>
          <w:rFonts w:ascii="Times New Roman" w:hAnsi="Times New Roman" w:cs="Times New Roman"/>
          <w:color w:val="000000" w:themeColor="text1"/>
          <w:sz w:val="20"/>
          <w:szCs w:val="20"/>
          <w:bdr w:val="none" w:sz="0" w:space="0" w:color="auto" w:frame="1"/>
        </w:rPr>
        <w:t>Journal of the American Medical Informatics Association</w:t>
      </w:r>
      <w:r w:rsidRPr="00E967A8">
        <w:rPr>
          <w:rFonts w:ascii="Times New Roman" w:hAnsi="Times New Roman" w:cs="Times New Roman"/>
          <w:color w:val="000000" w:themeColor="text1"/>
          <w:sz w:val="20"/>
          <w:szCs w:val="20"/>
          <w:shd w:val="clear" w:color="auto" w:fill="FFFFFF"/>
        </w:rPr>
        <w:t>, ocaa044,</w:t>
      </w:r>
      <w:r w:rsidRPr="00E967A8">
        <w:rPr>
          <w:rStyle w:val="apple-converted-space"/>
          <w:rFonts w:ascii="Times New Roman" w:hAnsi="Times New Roman" w:cs="Times New Roman"/>
          <w:color w:val="000000" w:themeColor="text1"/>
          <w:sz w:val="20"/>
          <w:szCs w:val="20"/>
          <w:shd w:val="clear" w:color="auto" w:fill="FFFFFF"/>
        </w:rPr>
        <w:t> </w:t>
      </w:r>
      <w:hyperlink r:id="rId15" w:history="1">
        <w:r w:rsidRPr="00E967A8">
          <w:rPr>
            <w:rStyle w:val="Hyperlink"/>
            <w:rFonts w:ascii="Times New Roman" w:hAnsi="Times New Roman" w:cs="Times New Roman"/>
            <w:color w:val="000000" w:themeColor="text1"/>
            <w:sz w:val="20"/>
            <w:szCs w:val="20"/>
            <w:bdr w:val="none" w:sz="0" w:space="0" w:color="auto" w:frame="1"/>
          </w:rPr>
          <w:t>https://doi.org/10.1093/jamia/ocaa044</w:t>
        </w:r>
      </w:hyperlink>
    </w:p>
    <w:p w14:paraId="4B1E0CD7" w14:textId="77777777" w:rsidR="00B11BAD" w:rsidRPr="00E967A8" w:rsidRDefault="00B11BAD" w:rsidP="00B11BAD">
      <w:pPr>
        <w:pStyle w:val="NormalWeb"/>
        <w:numPr>
          <w:ilvl w:val="0"/>
          <w:numId w:val="1"/>
        </w:numPr>
        <w:spacing w:before="0" w:beforeAutospacing="0" w:after="0" w:afterAutospacing="0"/>
        <w:rPr>
          <w:color w:val="000000" w:themeColor="text1"/>
          <w:sz w:val="20"/>
          <w:szCs w:val="20"/>
        </w:rPr>
      </w:pPr>
      <w:r w:rsidRPr="00E967A8">
        <w:rPr>
          <w:color w:val="000000" w:themeColor="text1"/>
          <w:sz w:val="20"/>
          <w:szCs w:val="20"/>
        </w:rPr>
        <w:t xml:space="preserve">Wu Y, Jiang X, Kim J, Ohno-Machado L. Grid Binary </w:t>
      </w:r>
      <w:proofErr w:type="spellStart"/>
      <w:r w:rsidRPr="00E967A8">
        <w:rPr>
          <w:color w:val="000000" w:themeColor="text1"/>
          <w:sz w:val="20"/>
          <w:szCs w:val="20"/>
        </w:rPr>
        <w:t>LOgistic</w:t>
      </w:r>
      <w:proofErr w:type="spellEnd"/>
      <w:r w:rsidRPr="00E967A8">
        <w:rPr>
          <w:color w:val="000000" w:themeColor="text1"/>
          <w:sz w:val="20"/>
          <w:szCs w:val="20"/>
        </w:rPr>
        <w:t xml:space="preserve"> </w:t>
      </w:r>
      <w:proofErr w:type="spellStart"/>
      <w:r w:rsidRPr="00E967A8">
        <w:rPr>
          <w:color w:val="000000" w:themeColor="text1"/>
          <w:sz w:val="20"/>
          <w:szCs w:val="20"/>
        </w:rPr>
        <w:t>REgression</w:t>
      </w:r>
      <w:proofErr w:type="spellEnd"/>
      <w:r w:rsidRPr="00E967A8">
        <w:rPr>
          <w:color w:val="000000" w:themeColor="text1"/>
          <w:sz w:val="20"/>
          <w:szCs w:val="20"/>
        </w:rPr>
        <w:t xml:space="preserve"> (GLORE): building shared models without sharing data. </w:t>
      </w:r>
      <w:r w:rsidRPr="00E967A8">
        <w:rPr>
          <w:i/>
          <w:color w:val="000000" w:themeColor="text1"/>
          <w:sz w:val="20"/>
          <w:szCs w:val="20"/>
        </w:rPr>
        <w:t>J Am Med Inform Assoc</w:t>
      </w:r>
      <w:r w:rsidRPr="00E967A8">
        <w:rPr>
          <w:color w:val="000000" w:themeColor="text1"/>
          <w:sz w:val="20"/>
          <w:szCs w:val="20"/>
        </w:rPr>
        <w:t>. 2012;19: 758–764.</w:t>
      </w:r>
    </w:p>
    <w:p w14:paraId="6BC3A1AB" w14:textId="296C0A41" w:rsidR="00B11BAD" w:rsidRPr="00E967A8" w:rsidRDefault="00B11BAD">
      <w:pPr>
        <w:numPr>
          <w:ilvl w:val="0"/>
          <w:numId w:val="1"/>
        </w:numPr>
        <w:pBdr>
          <w:top w:val="nil"/>
          <w:left w:val="nil"/>
          <w:bottom w:val="nil"/>
          <w:right w:val="nil"/>
          <w:between w:val="nil"/>
        </w:pBdr>
        <w:jc w:val="both"/>
        <w:rPr>
          <w:rFonts w:eastAsia="Calibri"/>
          <w:color w:val="000000" w:themeColor="text1"/>
        </w:rPr>
      </w:pPr>
      <w:r w:rsidRPr="00E967A8">
        <w:rPr>
          <w:color w:val="000000" w:themeColor="text1"/>
          <w:shd w:val="clear" w:color="auto" w:fill="FFFFFF"/>
        </w:rPr>
        <w:t>Lu CL, Wang S, Ji</w:t>
      </w:r>
      <w:r w:rsidR="001A16E7" w:rsidRPr="00E967A8">
        <w:rPr>
          <w:color w:val="000000" w:themeColor="text1"/>
          <w:shd w:val="clear" w:color="auto" w:fill="FFFFFF"/>
        </w:rPr>
        <w:t xml:space="preserve"> </w:t>
      </w:r>
      <w:r w:rsidRPr="00E967A8">
        <w:rPr>
          <w:color w:val="000000" w:themeColor="text1"/>
          <w:shd w:val="clear" w:color="auto" w:fill="FFFFFF"/>
        </w:rPr>
        <w:t xml:space="preserve">Z, Wu Y, </w:t>
      </w:r>
      <w:proofErr w:type="spellStart"/>
      <w:r w:rsidRPr="00E967A8">
        <w:rPr>
          <w:color w:val="000000" w:themeColor="text1"/>
          <w:shd w:val="clear" w:color="auto" w:fill="FFFFFF"/>
        </w:rPr>
        <w:t>Xiong</w:t>
      </w:r>
      <w:proofErr w:type="spellEnd"/>
      <w:r w:rsidRPr="00E967A8">
        <w:rPr>
          <w:color w:val="000000" w:themeColor="text1"/>
          <w:shd w:val="clear" w:color="auto" w:fill="FFFFFF"/>
        </w:rPr>
        <w:t xml:space="preserve"> L, Jiang X, Ohno-Machado L. (2015). </w:t>
      </w:r>
      <w:proofErr w:type="spellStart"/>
      <w:r w:rsidRPr="00E967A8">
        <w:rPr>
          <w:color w:val="000000" w:themeColor="text1"/>
          <w:shd w:val="clear" w:color="auto" w:fill="FFFFFF"/>
        </w:rPr>
        <w:t>WebDISCO</w:t>
      </w:r>
      <w:proofErr w:type="spellEnd"/>
      <w:r w:rsidRPr="00E967A8">
        <w:rPr>
          <w:color w:val="000000" w:themeColor="text1"/>
          <w:shd w:val="clear" w:color="auto" w:fill="FFFFFF"/>
        </w:rPr>
        <w:t xml:space="preserve">: a web service for </w:t>
      </w:r>
      <w:r w:rsidRPr="00E967A8">
        <w:rPr>
          <w:color w:val="000000" w:themeColor="text1"/>
          <w:shd w:val="clear" w:color="auto" w:fill="FFFFFF"/>
        </w:rPr>
        <w:lastRenderedPageBreak/>
        <w:t>distributed cox model learning without patient-level data sharing. </w:t>
      </w:r>
      <w:r w:rsidRPr="00E967A8">
        <w:rPr>
          <w:i/>
          <w:iCs/>
          <w:color w:val="000000" w:themeColor="text1"/>
        </w:rPr>
        <w:t>Journal of the American Medical Informatics Association</w:t>
      </w:r>
      <w:r w:rsidRPr="00E967A8">
        <w:rPr>
          <w:color w:val="000000" w:themeColor="text1"/>
          <w:shd w:val="clear" w:color="auto" w:fill="FFFFFF"/>
        </w:rPr>
        <w:t>, </w:t>
      </w:r>
      <w:r w:rsidRPr="00E967A8">
        <w:rPr>
          <w:i/>
          <w:iCs/>
          <w:color w:val="000000" w:themeColor="text1"/>
        </w:rPr>
        <w:t>22</w:t>
      </w:r>
      <w:r w:rsidRPr="00E967A8">
        <w:rPr>
          <w:color w:val="000000" w:themeColor="text1"/>
          <w:shd w:val="clear" w:color="auto" w:fill="FFFFFF"/>
        </w:rPr>
        <w:t>(6), 1212-1219.</w:t>
      </w:r>
    </w:p>
    <w:p w14:paraId="04DB8DAB" w14:textId="6DACC55D" w:rsidR="00B11BAD" w:rsidRPr="00E967A8" w:rsidRDefault="001A16E7" w:rsidP="00B11BAD">
      <w:pPr>
        <w:pStyle w:val="ListParagraph"/>
        <w:numPr>
          <w:ilvl w:val="0"/>
          <w:numId w:val="1"/>
        </w:numPr>
        <w:rPr>
          <w:rFonts w:ascii="Times New Roman" w:hAnsi="Times New Roman" w:cs="Times New Roman"/>
          <w:color w:val="000000" w:themeColor="text1"/>
          <w:sz w:val="20"/>
          <w:szCs w:val="20"/>
        </w:rPr>
      </w:pPr>
      <w:r w:rsidRPr="00E967A8">
        <w:rPr>
          <w:rFonts w:ascii="Times New Roman" w:hAnsi="Times New Roman" w:cs="Times New Roman"/>
          <w:color w:val="000000" w:themeColor="text1"/>
          <w:sz w:val="20"/>
          <w:szCs w:val="20"/>
          <w:shd w:val="clear" w:color="auto" w:fill="FFFFFF"/>
        </w:rPr>
        <w:t>Duan R</w:t>
      </w:r>
      <w:r w:rsidR="00B11BAD" w:rsidRPr="00E967A8">
        <w:rPr>
          <w:rFonts w:ascii="Times New Roman" w:hAnsi="Times New Roman" w:cs="Times New Roman"/>
          <w:color w:val="000000" w:themeColor="text1"/>
          <w:sz w:val="20"/>
          <w:szCs w:val="20"/>
          <w:shd w:val="clear" w:color="auto" w:fill="FFFFFF"/>
        </w:rPr>
        <w:t xml:space="preserve">, </w:t>
      </w:r>
      <w:r w:rsidRPr="00E967A8">
        <w:rPr>
          <w:rFonts w:ascii="Times New Roman" w:hAnsi="Times New Roman" w:cs="Times New Roman"/>
          <w:color w:val="000000" w:themeColor="text1"/>
          <w:sz w:val="20"/>
          <w:szCs w:val="20"/>
          <w:shd w:val="clear" w:color="auto" w:fill="FFFFFF"/>
        </w:rPr>
        <w:t>Boland MR,</w:t>
      </w:r>
      <w:r w:rsidR="00B11BAD" w:rsidRPr="00E967A8">
        <w:rPr>
          <w:rFonts w:ascii="Times New Roman" w:hAnsi="Times New Roman" w:cs="Times New Roman"/>
          <w:color w:val="000000" w:themeColor="text1"/>
          <w:sz w:val="20"/>
          <w:szCs w:val="20"/>
          <w:shd w:val="clear" w:color="auto" w:fill="FFFFFF"/>
        </w:rPr>
        <w:t xml:space="preserve"> Liu</w:t>
      </w:r>
      <w:r w:rsidRPr="00E967A8">
        <w:rPr>
          <w:rFonts w:ascii="Times New Roman" w:hAnsi="Times New Roman" w:cs="Times New Roman"/>
          <w:color w:val="000000" w:themeColor="text1"/>
          <w:sz w:val="20"/>
          <w:szCs w:val="20"/>
          <w:shd w:val="clear" w:color="auto" w:fill="FFFFFF"/>
        </w:rPr>
        <w:t xml:space="preserve"> Z</w:t>
      </w:r>
      <w:r w:rsidR="00B11BAD" w:rsidRPr="00E967A8">
        <w:rPr>
          <w:rFonts w:ascii="Times New Roman" w:hAnsi="Times New Roman" w:cs="Times New Roman"/>
          <w:color w:val="000000" w:themeColor="text1"/>
          <w:sz w:val="20"/>
          <w:szCs w:val="20"/>
          <w:shd w:val="clear" w:color="auto" w:fill="FFFFFF"/>
        </w:rPr>
        <w:t>, Liu</w:t>
      </w:r>
      <w:r w:rsidRPr="00E967A8">
        <w:rPr>
          <w:rFonts w:ascii="Times New Roman" w:hAnsi="Times New Roman" w:cs="Times New Roman"/>
          <w:color w:val="000000" w:themeColor="text1"/>
          <w:sz w:val="20"/>
          <w:szCs w:val="20"/>
          <w:shd w:val="clear" w:color="auto" w:fill="FFFFFF"/>
        </w:rPr>
        <w:t xml:space="preserve"> Y</w:t>
      </w:r>
      <w:r w:rsidR="00B11BAD" w:rsidRPr="00E967A8">
        <w:rPr>
          <w:rFonts w:ascii="Times New Roman" w:hAnsi="Times New Roman" w:cs="Times New Roman"/>
          <w:color w:val="000000" w:themeColor="text1"/>
          <w:sz w:val="20"/>
          <w:szCs w:val="20"/>
          <w:shd w:val="clear" w:color="auto" w:fill="FFFFFF"/>
        </w:rPr>
        <w:t>, Chang</w:t>
      </w:r>
      <w:r w:rsidRPr="00E967A8">
        <w:rPr>
          <w:rFonts w:ascii="Times New Roman" w:hAnsi="Times New Roman" w:cs="Times New Roman"/>
          <w:color w:val="000000" w:themeColor="text1"/>
          <w:sz w:val="20"/>
          <w:szCs w:val="20"/>
          <w:shd w:val="clear" w:color="auto" w:fill="FFFFFF"/>
        </w:rPr>
        <w:t xml:space="preserve"> HH</w:t>
      </w:r>
      <w:r w:rsidR="00B11BAD" w:rsidRPr="00E967A8">
        <w:rPr>
          <w:rFonts w:ascii="Times New Roman" w:hAnsi="Times New Roman" w:cs="Times New Roman"/>
          <w:color w:val="000000" w:themeColor="text1"/>
          <w:sz w:val="20"/>
          <w:szCs w:val="20"/>
          <w:shd w:val="clear" w:color="auto" w:fill="FFFFFF"/>
        </w:rPr>
        <w:t>, Xu</w:t>
      </w:r>
      <w:r w:rsidRPr="00E967A8">
        <w:rPr>
          <w:rFonts w:ascii="Times New Roman" w:hAnsi="Times New Roman" w:cs="Times New Roman"/>
          <w:color w:val="000000" w:themeColor="text1"/>
          <w:sz w:val="20"/>
          <w:szCs w:val="20"/>
          <w:shd w:val="clear" w:color="auto" w:fill="FFFFFF"/>
        </w:rPr>
        <w:t xml:space="preserve"> H</w:t>
      </w:r>
      <w:r w:rsidR="00B11BAD" w:rsidRPr="00E967A8">
        <w:rPr>
          <w:rFonts w:ascii="Times New Roman" w:hAnsi="Times New Roman" w:cs="Times New Roman"/>
          <w:color w:val="000000" w:themeColor="text1"/>
          <w:sz w:val="20"/>
          <w:szCs w:val="20"/>
          <w:shd w:val="clear" w:color="auto" w:fill="FFFFFF"/>
        </w:rPr>
        <w:t>, Chu</w:t>
      </w:r>
      <w:r w:rsidRPr="00E967A8">
        <w:rPr>
          <w:rFonts w:ascii="Times New Roman" w:hAnsi="Times New Roman" w:cs="Times New Roman"/>
          <w:color w:val="000000" w:themeColor="text1"/>
          <w:sz w:val="20"/>
          <w:szCs w:val="20"/>
          <w:shd w:val="clear" w:color="auto" w:fill="FFFFFF"/>
        </w:rPr>
        <w:t xml:space="preserve"> H</w:t>
      </w:r>
      <w:r w:rsidR="00B11BAD" w:rsidRPr="00E967A8">
        <w:rPr>
          <w:rFonts w:ascii="Times New Roman" w:hAnsi="Times New Roman" w:cs="Times New Roman"/>
          <w:color w:val="000000" w:themeColor="text1"/>
          <w:sz w:val="20"/>
          <w:szCs w:val="20"/>
          <w:shd w:val="clear" w:color="auto" w:fill="FFFFFF"/>
        </w:rPr>
        <w:t>, Schmid</w:t>
      </w:r>
      <w:r w:rsidRPr="00E967A8">
        <w:rPr>
          <w:rFonts w:ascii="Times New Roman" w:hAnsi="Times New Roman" w:cs="Times New Roman"/>
          <w:color w:val="000000" w:themeColor="text1"/>
          <w:sz w:val="20"/>
          <w:szCs w:val="20"/>
          <w:shd w:val="clear" w:color="auto" w:fill="FFFFFF"/>
        </w:rPr>
        <w:t xml:space="preserve"> C</w:t>
      </w:r>
      <w:r w:rsidR="00B11BAD" w:rsidRPr="00E967A8">
        <w:rPr>
          <w:rFonts w:ascii="Times New Roman" w:hAnsi="Times New Roman" w:cs="Times New Roman"/>
          <w:color w:val="000000" w:themeColor="text1"/>
          <w:sz w:val="20"/>
          <w:szCs w:val="20"/>
          <w:shd w:val="clear" w:color="auto" w:fill="FFFFFF"/>
        </w:rPr>
        <w:t>, Forrest</w:t>
      </w:r>
      <w:r w:rsidRPr="00E967A8">
        <w:rPr>
          <w:rFonts w:ascii="Times New Roman" w:hAnsi="Times New Roman" w:cs="Times New Roman"/>
          <w:color w:val="000000" w:themeColor="text1"/>
          <w:sz w:val="20"/>
          <w:szCs w:val="20"/>
          <w:shd w:val="clear" w:color="auto" w:fill="FFFFFF"/>
        </w:rPr>
        <w:t xml:space="preserve"> CB</w:t>
      </w:r>
      <w:r w:rsidR="00B11BAD" w:rsidRPr="00E967A8">
        <w:rPr>
          <w:rFonts w:ascii="Times New Roman" w:hAnsi="Times New Roman" w:cs="Times New Roman"/>
          <w:color w:val="000000" w:themeColor="text1"/>
          <w:sz w:val="20"/>
          <w:szCs w:val="20"/>
          <w:shd w:val="clear" w:color="auto" w:fill="FFFFFF"/>
        </w:rPr>
        <w:t>, Holmes</w:t>
      </w:r>
      <w:r w:rsidRPr="00E967A8">
        <w:rPr>
          <w:rFonts w:ascii="Times New Roman" w:hAnsi="Times New Roman" w:cs="Times New Roman"/>
          <w:color w:val="000000" w:themeColor="text1"/>
          <w:sz w:val="20"/>
          <w:szCs w:val="20"/>
          <w:shd w:val="clear" w:color="auto" w:fill="FFFFFF"/>
        </w:rPr>
        <w:t xml:space="preserve"> JH</w:t>
      </w:r>
      <w:r w:rsidR="00B11BAD" w:rsidRPr="00E967A8">
        <w:rPr>
          <w:rFonts w:ascii="Times New Roman" w:hAnsi="Times New Roman" w:cs="Times New Roman"/>
          <w:color w:val="000000" w:themeColor="text1"/>
          <w:sz w:val="20"/>
          <w:szCs w:val="20"/>
          <w:shd w:val="clear" w:color="auto" w:fill="FFFFFF"/>
        </w:rPr>
        <w:t xml:space="preserve">, </w:t>
      </w:r>
      <w:proofErr w:type="spellStart"/>
      <w:r w:rsidR="00B11BAD" w:rsidRPr="00E967A8">
        <w:rPr>
          <w:rFonts w:ascii="Times New Roman" w:hAnsi="Times New Roman" w:cs="Times New Roman"/>
          <w:color w:val="000000" w:themeColor="text1"/>
          <w:sz w:val="20"/>
          <w:szCs w:val="20"/>
          <w:shd w:val="clear" w:color="auto" w:fill="FFFFFF"/>
        </w:rPr>
        <w:t>Schuemie</w:t>
      </w:r>
      <w:proofErr w:type="spellEnd"/>
      <w:r w:rsidRPr="00E967A8">
        <w:rPr>
          <w:rFonts w:ascii="Times New Roman" w:hAnsi="Times New Roman" w:cs="Times New Roman"/>
          <w:color w:val="000000" w:themeColor="text1"/>
          <w:sz w:val="20"/>
          <w:szCs w:val="20"/>
          <w:shd w:val="clear" w:color="auto" w:fill="FFFFFF"/>
        </w:rPr>
        <w:t xml:space="preserve"> MJ</w:t>
      </w:r>
      <w:r w:rsidR="00B11BAD" w:rsidRPr="00E967A8">
        <w:rPr>
          <w:rFonts w:ascii="Times New Roman" w:hAnsi="Times New Roman" w:cs="Times New Roman"/>
          <w:color w:val="000000" w:themeColor="text1"/>
          <w:sz w:val="20"/>
          <w:szCs w:val="20"/>
          <w:shd w:val="clear" w:color="auto" w:fill="FFFFFF"/>
        </w:rPr>
        <w:t>, Berlin</w:t>
      </w:r>
      <w:r w:rsidRPr="00E967A8">
        <w:rPr>
          <w:rFonts w:ascii="Times New Roman" w:hAnsi="Times New Roman" w:cs="Times New Roman"/>
          <w:color w:val="000000" w:themeColor="text1"/>
          <w:sz w:val="20"/>
          <w:szCs w:val="20"/>
          <w:shd w:val="clear" w:color="auto" w:fill="FFFFFF"/>
        </w:rPr>
        <w:t xml:space="preserve"> JA</w:t>
      </w:r>
      <w:r w:rsidR="00B11BAD" w:rsidRPr="00E967A8">
        <w:rPr>
          <w:rFonts w:ascii="Times New Roman" w:hAnsi="Times New Roman" w:cs="Times New Roman"/>
          <w:color w:val="000000" w:themeColor="text1"/>
          <w:sz w:val="20"/>
          <w:szCs w:val="20"/>
          <w:shd w:val="clear" w:color="auto" w:fill="FFFFFF"/>
        </w:rPr>
        <w:t>, Moore</w:t>
      </w:r>
      <w:r w:rsidRPr="00E967A8">
        <w:rPr>
          <w:rFonts w:ascii="Times New Roman" w:hAnsi="Times New Roman" w:cs="Times New Roman"/>
          <w:color w:val="000000" w:themeColor="text1"/>
          <w:sz w:val="20"/>
          <w:szCs w:val="20"/>
          <w:shd w:val="clear" w:color="auto" w:fill="FFFFFF"/>
        </w:rPr>
        <w:t xml:space="preserve"> JH</w:t>
      </w:r>
      <w:r w:rsidR="00B11BAD" w:rsidRPr="00E967A8">
        <w:rPr>
          <w:rFonts w:ascii="Times New Roman" w:hAnsi="Times New Roman" w:cs="Times New Roman"/>
          <w:color w:val="000000" w:themeColor="text1"/>
          <w:sz w:val="20"/>
          <w:szCs w:val="20"/>
          <w:shd w:val="clear" w:color="auto" w:fill="FFFFFF"/>
        </w:rPr>
        <w:t>, Chen</w:t>
      </w:r>
      <w:r w:rsidRPr="00E967A8">
        <w:rPr>
          <w:rFonts w:ascii="Times New Roman" w:hAnsi="Times New Roman" w:cs="Times New Roman"/>
          <w:color w:val="000000" w:themeColor="text1"/>
          <w:sz w:val="20"/>
          <w:szCs w:val="20"/>
          <w:shd w:val="clear" w:color="auto" w:fill="FFFFFF"/>
        </w:rPr>
        <w:t xml:space="preserve"> Y.</w:t>
      </w:r>
      <w:r w:rsidR="00B11BAD" w:rsidRPr="00E967A8">
        <w:rPr>
          <w:rFonts w:ascii="Times New Roman" w:hAnsi="Times New Roman" w:cs="Times New Roman"/>
          <w:color w:val="000000" w:themeColor="text1"/>
          <w:sz w:val="20"/>
          <w:szCs w:val="20"/>
          <w:shd w:val="clear" w:color="auto" w:fill="FFFFFF"/>
        </w:rPr>
        <w:t xml:space="preserve"> Learning from electronic health records across multiple sites: A communication-efficient and privacy-preserving distributed algorithm</w:t>
      </w:r>
      <w:r w:rsidRPr="00E967A8">
        <w:rPr>
          <w:rFonts w:ascii="Times New Roman" w:hAnsi="Times New Roman" w:cs="Times New Roman"/>
          <w:color w:val="000000" w:themeColor="text1"/>
          <w:sz w:val="20"/>
          <w:szCs w:val="20"/>
          <w:shd w:val="clear" w:color="auto" w:fill="FFFFFF"/>
        </w:rPr>
        <w:t xml:space="preserve">. </w:t>
      </w:r>
      <w:r w:rsidR="00B11BAD" w:rsidRPr="00E967A8">
        <w:rPr>
          <w:rStyle w:val="Emphasis"/>
          <w:rFonts w:ascii="Times New Roman" w:hAnsi="Times New Roman" w:cs="Times New Roman"/>
          <w:color w:val="000000" w:themeColor="text1"/>
          <w:sz w:val="20"/>
          <w:szCs w:val="20"/>
          <w:bdr w:val="none" w:sz="0" w:space="0" w:color="auto" w:frame="1"/>
        </w:rPr>
        <w:t>Journal of the American Medical Informatics Association</w:t>
      </w:r>
      <w:r w:rsidR="00B11BAD" w:rsidRPr="00E967A8">
        <w:rPr>
          <w:rFonts w:ascii="Times New Roman" w:hAnsi="Times New Roman" w:cs="Times New Roman"/>
          <w:color w:val="000000" w:themeColor="text1"/>
          <w:sz w:val="20"/>
          <w:szCs w:val="20"/>
          <w:shd w:val="clear" w:color="auto" w:fill="FFFFFF"/>
        </w:rPr>
        <w:t>, Volume 27, Issue 3, March 2020, Pages 376–385,</w:t>
      </w:r>
      <w:r w:rsidR="00B11BAD" w:rsidRPr="00E967A8">
        <w:rPr>
          <w:rStyle w:val="apple-converted-space"/>
          <w:rFonts w:ascii="Times New Roman" w:hAnsi="Times New Roman" w:cs="Times New Roman"/>
          <w:color w:val="000000" w:themeColor="text1"/>
          <w:sz w:val="20"/>
          <w:szCs w:val="20"/>
          <w:shd w:val="clear" w:color="auto" w:fill="FFFFFF"/>
        </w:rPr>
        <w:t> </w:t>
      </w:r>
      <w:hyperlink r:id="rId16" w:history="1">
        <w:r w:rsidR="00B11BAD" w:rsidRPr="00E967A8">
          <w:rPr>
            <w:rStyle w:val="Hyperlink"/>
            <w:rFonts w:ascii="Times New Roman" w:hAnsi="Times New Roman" w:cs="Times New Roman"/>
            <w:color w:val="000000" w:themeColor="text1"/>
            <w:sz w:val="20"/>
            <w:szCs w:val="20"/>
            <w:bdr w:val="none" w:sz="0" w:space="0" w:color="auto" w:frame="1"/>
          </w:rPr>
          <w:t>https://doi.org/10.1093/jamia/ocz199</w:t>
        </w:r>
      </w:hyperlink>
    </w:p>
    <w:p w14:paraId="4C047EC5" w14:textId="58D94262" w:rsidR="00B11BAD" w:rsidRPr="00E967A8" w:rsidRDefault="00B11BAD">
      <w:pPr>
        <w:numPr>
          <w:ilvl w:val="0"/>
          <w:numId w:val="1"/>
        </w:numPr>
        <w:pBdr>
          <w:top w:val="nil"/>
          <w:left w:val="nil"/>
          <w:bottom w:val="nil"/>
          <w:right w:val="nil"/>
          <w:between w:val="nil"/>
        </w:pBdr>
        <w:jc w:val="both"/>
        <w:rPr>
          <w:rFonts w:eastAsia="Calibri"/>
          <w:color w:val="000000" w:themeColor="text1"/>
          <w:sz w:val="22"/>
          <w:szCs w:val="22"/>
        </w:rPr>
      </w:pPr>
      <w:r w:rsidRPr="00E967A8">
        <w:rPr>
          <w:color w:val="000000" w:themeColor="text1"/>
          <w:shd w:val="clear" w:color="auto" w:fill="FFFFFF"/>
        </w:rPr>
        <w:t xml:space="preserve">Du J, Park YT, </w:t>
      </w:r>
      <w:proofErr w:type="spellStart"/>
      <w:r w:rsidRPr="00E967A8">
        <w:rPr>
          <w:color w:val="000000" w:themeColor="text1"/>
          <w:shd w:val="clear" w:color="auto" w:fill="FFFFFF"/>
        </w:rPr>
        <w:t>Theera-Ampornpunt</w:t>
      </w:r>
      <w:proofErr w:type="spellEnd"/>
      <w:r w:rsidRPr="00E967A8">
        <w:rPr>
          <w:color w:val="000000" w:themeColor="text1"/>
          <w:shd w:val="clear" w:color="auto" w:fill="FFFFFF"/>
        </w:rPr>
        <w:t xml:space="preserve"> N, McCullough JS, </w:t>
      </w:r>
      <w:proofErr w:type="spellStart"/>
      <w:r w:rsidRPr="00E967A8">
        <w:rPr>
          <w:color w:val="000000" w:themeColor="text1"/>
          <w:shd w:val="clear" w:color="auto" w:fill="FFFFFF"/>
        </w:rPr>
        <w:t>Speedie</w:t>
      </w:r>
      <w:proofErr w:type="spellEnd"/>
      <w:r w:rsidRPr="00E967A8">
        <w:rPr>
          <w:color w:val="000000" w:themeColor="text1"/>
          <w:shd w:val="clear" w:color="auto" w:fill="FFFFFF"/>
        </w:rPr>
        <w:t xml:space="preserve"> SM. The use of count data models in biomedical informatics evaluation research. </w:t>
      </w:r>
      <w:r w:rsidRPr="00E967A8">
        <w:rPr>
          <w:i/>
          <w:iCs/>
          <w:color w:val="000000" w:themeColor="text1"/>
        </w:rPr>
        <w:t>J Am Med Inform Assoc</w:t>
      </w:r>
      <w:r w:rsidRPr="00E967A8">
        <w:rPr>
          <w:color w:val="000000" w:themeColor="text1"/>
          <w:shd w:val="clear" w:color="auto" w:fill="FFFFFF"/>
        </w:rPr>
        <w:t>. 2012;19(1):39‐44.</w:t>
      </w:r>
    </w:p>
    <w:p w14:paraId="73F972BC" w14:textId="4B44744A" w:rsidR="00B11BAD" w:rsidRPr="00E967A8" w:rsidRDefault="00B11BAD" w:rsidP="00B11BAD">
      <w:pPr>
        <w:pStyle w:val="ListParagraph"/>
        <w:numPr>
          <w:ilvl w:val="0"/>
          <w:numId w:val="1"/>
        </w:numPr>
        <w:rPr>
          <w:rFonts w:ascii="Times New Roman" w:eastAsia="Times New Roman" w:hAnsi="Times New Roman" w:cs="Times New Roman"/>
          <w:sz w:val="20"/>
          <w:szCs w:val="20"/>
        </w:rPr>
      </w:pPr>
      <w:r w:rsidRPr="00E967A8">
        <w:rPr>
          <w:rFonts w:ascii="Times New Roman" w:eastAsia="Times New Roman" w:hAnsi="Times New Roman" w:cs="Times New Roman"/>
          <w:color w:val="050505"/>
          <w:sz w:val="20"/>
          <w:szCs w:val="20"/>
          <w:shd w:val="clear" w:color="auto" w:fill="FFFFFF"/>
        </w:rPr>
        <w:t>Cameron, A</w:t>
      </w:r>
      <w:r w:rsidR="001A16E7" w:rsidRPr="00E967A8">
        <w:rPr>
          <w:rFonts w:ascii="Times New Roman" w:eastAsia="Times New Roman" w:hAnsi="Times New Roman" w:cs="Times New Roman"/>
          <w:color w:val="050505"/>
          <w:sz w:val="20"/>
          <w:szCs w:val="20"/>
          <w:shd w:val="clear" w:color="auto" w:fill="FFFFFF"/>
        </w:rPr>
        <w:t>C</w:t>
      </w:r>
      <w:r w:rsidRPr="00E967A8">
        <w:rPr>
          <w:rFonts w:ascii="Times New Roman" w:eastAsia="Times New Roman" w:hAnsi="Times New Roman" w:cs="Times New Roman"/>
          <w:color w:val="050505"/>
          <w:sz w:val="20"/>
          <w:szCs w:val="20"/>
          <w:shd w:val="clear" w:color="auto" w:fill="FFFFFF"/>
        </w:rPr>
        <w:t xml:space="preserve"> &amp; Trivedi, P</w:t>
      </w:r>
      <w:r w:rsidR="001A16E7" w:rsidRPr="00E967A8">
        <w:rPr>
          <w:rFonts w:ascii="Times New Roman" w:eastAsia="Times New Roman" w:hAnsi="Times New Roman" w:cs="Times New Roman"/>
          <w:color w:val="050505"/>
          <w:sz w:val="20"/>
          <w:szCs w:val="20"/>
          <w:shd w:val="clear" w:color="auto" w:fill="FFFFFF"/>
        </w:rPr>
        <w:t>K</w:t>
      </w:r>
      <w:r w:rsidRPr="00E967A8">
        <w:rPr>
          <w:rFonts w:ascii="Times New Roman" w:eastAsia="Times New Roman" w:hAnsi="Times New Roman" w:cs="Times New Roman"/>
          <w:color w:val="050505"/>
          <w:sz w:val="20"/>
          <w:szCs w:val="20"/>
          <w:shd w:val="clear" w:color="auto" w:fill="FFFFFF"/>
        </w:rPr>
        <w:t xml:space="preserve"> (1998). </w:t>
      </w:r>
      <w:r w:rsidRPr="00E967A8">
        <w:rPr>
          <w:rFonts w:ascii="Times New Roman" w:eastAsia="Times New Roman" w:hAnsi="Times New Roman" w:cs="Times New Roman"/>
          <w:i/>
          <w:iCs/>
          <w:color w:val="050505"/>
          <w:sz w:val="20"/>
          <w:szCs w:val="20"/>
        </w:rPr>
        <w:t>Regression analysis of count data.</w:t>
      </w:r>
      <w:r w:rsidRPr="00E967A8">
        <w:rPr>
          <w:rFonts w:ascii="Times New Roman" w:eastAsia="Times New Roman" w:hAnsi="Times New Roman" w:cs="Times New Roman"/>
          <w:color w:val="050505"/>
          <w:sz w:val="20"/>
          <w:szCs w:val="20"/>
          <w:shd w:val="clear" w:color="auto" w:fill="FFFFFF"/>
        </w:rPr>
        <w:t> Cambridge, UK: Cambridge University Press.</w:t>
      </w:r>
    </w:p>
    <w:p w14:paraId="6D607939" w14:textId="28A22BEC" w:rsidR="00D54930" w:rsidRPr="00E967A8" w:rsidRDefault="00B11BAD" w:rsidP="00C81757">
      <w:pPr>
        <w:pStyle w:val="NormalWeb"/>
        <w:numPr>
          <w:ilvl w:val="0"/>
          <w:numId w:val="1"/>
        </w:numPr>
        <w:spacing w:before="0" w:beforeAutospacing="0" w:after="0" w:afterAutospacing="0"/>
        <w:rPr>
          <w:sz w:val="20"/>
          <w:szCs w:val="20"/>
        </w:rPr>
      </w:pPr>
      <w:r w:rsidRPr="00E967A8">
        <w:rPr>
          <w:sz w:val="20"/>
          <w:szCs w:val="20"/>
        </w:rPr>
        <w:t>Jordan MI, Lee JD, Yang Y. Communication-efficient distributed statistical inference. Journal of the American Statistical Association. 2019 Apr 3;114(526):668-81.</w:t>
      </w:r>
    </w:p>
    <w:p w14:paraId="707BB2C1" w14:textId="548594E4" w:rsidR="00E967A8" w:rsidRDefault="00E967A8" w:rsidP="00E967A8">
      <w:pPr>
        <w:pStyle w:val="NormalWeb"/>
        <w:spacing w:before="0" w:beforeAutospacing="0" w:after="0" w:afterAutospacing="0"/>
        <w:rPr>
          <w:rFonts w:asciiTheme="majorHAnsi" w:hAnsiTheme="majorHAnsi" w:cstheme="majorHAnsi"/>
          <w:sz w:val="20"/>
          <w:szCs w:val="20"/>
        </w:rPr>
      </w:pPr>
    </w:p>
    <w:p w14:paraId="23ADD58F" w14:textId="5EE6838C" w:rsidR="00E967A8" w:rsidRDefault="00E967A8" w:rsidP="00E967A8">
      <w:pPr>
        <w:pStyle w:val="NormalWeb"/>
        <w:spacing w:before="0" w:beforeAutospacing="0" w:after="0" w:afterAutospacing="0"/>
        <w:rPr>
          <w:rFonts w:asciiTheme="majorHAnsi" w:hAnsiTheme="majorHAnsi" w:cstheme="majorHAnsi"/>
          <w:sz w:val="20"/>
          <w:szCs w:val="20"/>
        </w:rPr>
      </w:pPr>
    </w:p>
    <w:p w14:paraId="4C517F54" w14:textId="6D8EA1D0" w:rsidR="00E967A8" w:rsidRDefault="00E967A8" w:rsidP="00E967A8">
      <w:pPr>
        <w:pStyle w:val="NormalWeb"/>
        <w:spacing w:before="0" w:beforeAutospacing="0" w:after="0" w:afterAutospacing="0"/>
        <w:rPr>
          <w:rFonts w:asciiTheme="majorHAnsi" w:hAnsiTheme="majorHAnsi" w:cstheme="majorHAnsi"/>
          <w:sz w:val="20"/>
          <w:szCs w:val="20"/>
        </w:rPr>
      </w:pPr>
    </w:p>
    <w:p w14:paraId="13E2A2C6" w14:textId="788B434B" w:rsidR="00E967A8" w:rsidRDefault="00E967A8" w:rsidP="00E967A8">
      <w:pPr>
        <w:pStyle w:val="NormalWeb"/>
        <w:spacing w:before="0" w:beforeAutospacing="0" w:after="0" w:afterAutospacing="0"/>
        <w:rPr>
          <w:rFonts w:asciiTheme="majorHAnsi" w:hAnsiTheme="majorHAnsi" w:cstheme="majorHAnsi"/>
          <w:sz w:val="20"/>
          <w:szCs w:val="20"/>
        </w:rPr>
      </w:pPr>
    </w:p>
    <w:p w14:paraId="11A18B63" w14:textId="7D6D013E" w:rsidR="00E967A8" w:rsidRDefault="00E967A8" w:rsidP="00E967A8">
      <w:pPr>
        <w:pStyle w:val="NormalWeb"/>
        <w:spacing w:before="0" w:beforeAutospacing="0" w:after="0" w:afterAutospacing="0"/>
        <w:rPr>
          <w:rFonts w:asciiTheme="majorHAnsi" w:hAnsiTheme="majorHAnsi" w:cstheme="majorHAnsi"/>
          <w:sz w:val="20"/>
          <w:szCs w:val="20"/>
        </w:rPr>
      </w:pPr>
    </w:p>
    <w:p w14:paraId="59D5B523" w14:textId="7692E53D" w:rsidR="00E967A8" w:rsidRDefault="00E967A8" w:rsidP="00E967A8">
      <w:pPr>
        <w:pStyle w:val="NormalWeb"/>
        <w:spacing w:before="0" w:beforeAutospacing="0" w:after="0" w:afterAutospacing="0"/>
        <w:rPr>
          <w:rFonts w:asciiTheme="majorHAnsi" w:hAnsiTheme="majorHAnsi" w:cstheme="majorHAnsi"/>
          <w:sz w:val="20"/>
          <w:szCs w:val="20"/>
        </w:rPr>
      </w:pPr>
    </w:p>
    <w:p w14:paraId="7C715A14" w14:textId="2399BA76" w:rsidR="00E967A8" w:rsidRDefault="00E967A8" w:rsidP="00E967A8">
      <w:pPr>
        <w:pStyle w:val="NormalWeb"/>
        <w:spacing w:before="0" w:beforeAutospacing="0" w:after="0" w:afterAutospacing="0"/>
        <w:rPr>
          <w:rFonts w:asciiTheme="majorHAnsi" w:hAnsiTheme="majorHAnsi" w:cstheme="majorHAnsi"/>
          <w:sz w:val="20"/>
          <w:szCs w:val="20"/>
        </w:rPr>
      </w:pPr>
    </w:p>
    <w:p w14:paraId="5B930AD2" w14:textId="3312FED8" w:rsidR="00E967A8" w:rsidRDefault="00E967A8" w:rsidP="00E967A8">
      <w:pPr>
        <w:pStyle w:val="NormalWeb"/>
        <w:spacing w:before="0" w:beforeAutospacing="0" w:after="0" w:afterAutospacing="0"/>
        <w:rPr>
          <w:rFonts w:asciiTheme="majorHAnsi" w:hAnsiTheme="majorHAnsi" w:cstheme="majorHAnsi"/>
          <w:sz w:val="20"/>
          <w:szCs w:val="20"/>
        </w:rPr>
      </w:pPr>
    </w:p>
    <w:p w14:paraId="7AC7752A" w14:textId="50E6BE26" w:rsidR="00E967A8" w:rsidRDefault="00E967A8" w:rsidP="00E967A8">
      <w:pPr>
        <w:pStyle w:val="NormalWeb"/>
        <w:spacing w:before="0" w:beforeAutospacing="0" w:after="0" w:afterAutospacing="0"/>
        <w:rPr>
          <w:rFonts w:asciiTheme="majorHAnsi" w:hAnsiTheme="majorHAnsi" w:cstheme="majorHAnsi"/>
          <w:sz w:val="20"/>
          <w:szCs w:val="20"/>
        </w:rPr>
      </w:pPr>
    </w:p>
    <w:p w14:paraId="3F19953E" w14:textId="537F3268" w:rsidR="00E967A8" w:rsidRDefault="00E967A8" w:rsidP="00E967A8">
      <w:pPr>
        <w:pStyle w:val="NormalWeb"/>
        <w:spacing w:before="0" w:beforeAutospacing="0" w:after="0" w:afterAutospacing="0"/>
        <w:rPr>
          <w:rFonts w:asciiTheme="majorHAnsi" w:hAnsiTheme="majorHAnsi" w:cstheme="majorHAnsi"/>
          <w:sz w:val="20"/>
          <w:szCs w:val="20"/>
        </w:rPr>
      </w:pPr>
    </w:p>
    <w:p w14:paraId="51BD932D" w14:textId="70C4058E" w:rsidR="00E967A8" w:rsidRDefault="00E967A8" w:rsidP="00E967A8">
      <w:pPr>
        <w:pStyle w:val="NormalWeb"/>
        <w:spacing w:before="0" w:beforeAutospacing="0" w:after="0" w:afterAutospacing="0"/>
        <w:rPr>
          <w:rFonts w:asciiTheme="majorHAnsi" w:hAnsiTheme="majorHAnsi" w:cstheme="majorHAnsi"/>
          <w:sz w:val="20"/>
          <w:szCs w:val="20"/>
        </w:rPr>
      </w:pPr>
    </w:p>
    <w:p w14:paraId="2B15FB1E" w14:textId="054F8259" w:rsidR="00E967A8" w:rsidRDefault="00E967A8" w:rsidP="00E967A8">
      <w:pPr>
        <w:pStyle w:val="NormalWeb"/>
        <w:spacing w:before="0" w:beforeAutospacing="0" w:after="0" w:afterAutospacing="0"/>
        <w:rPr>
          <w:rFonts w:asciiTheme="majorHAnsi" w:hAnsiTheme="majorHAnsi" w:cstheme="majorHAnsi"/>
          <w:sz w:val="20"/>
          <w:szCs w:val="20"/>
        </w:rPr>
      </w:pPr>
    </w:p>
    <w:p w14:paraId="564838A4" w14:textId="2BB1E124" w:rsidR="00E967A8" w:rsidRDefault="00E967A8" w:rsidP="00E967A8">
      <w:pPr>
        <w:pStyle w:val="NormalWeb"/>
        <w:spacing w:before="0" w:beforeAutospacing="0" w:after="0" w:afterAutospacing="0"/>
        <w:rPr>
          <w:rFonts w:asciiTheme="majorHAnsi" w:hAnsiTheme="majorHAnsi" w:cstheme="majorHAnsi"/>
          <w:sz w:val="20"/>
          <w:szCs w:val="20"/>
        </w:rPr>
      </w:pPr>
    </w:p>
    <w:p w14:paraId="6216FBB1" w14:textId="26C2986F" w:rsidR="00E967A8" w:rsidRDefault="00E967A8" w:rsidP="00E967A8">
      <w:pPr>
        <w:pStyle w:val="NormalWeb"/>
        <w:spacing w:before="0" w:beforeAutospacing="0" w:after="0" w:afterAutospacing="0"/>
        <w:rPr>
          <w:rFonts w:asciiTheme="majorHAnsi" w:hAnsiTheme="majorHAnsi" w:cstheme="majorHAnsi"/>
          <w:sz w:val="20"/>
          <w:szCs w:val="20"/>
        </w:rPr>
      </w:pPr>
    </w:p>
    <w:p w14:paraId="125E99B7" w14:textId="523BCE95" w:rsidR="00E967A8" w:rsidRDefault="00E967A8" w:rsidP="00E967A8">
      <w:pPr>
        <w:pStyle w:val="NormalWeb"/>
        <w:spacing w:before="0" w:beforeAutospacing="0" w:after="0" w:afterAutospacing="0"/>
        <w:rPr>
          <w:rFonts w:asciiTheme="majorHAnsi" w:hAnsiTheme="majorHAnsi" w:cstheme="majorHAnsi"/>
          <w:sz w:val="20"/>
          <w:szCs w:val="20"/>
        </w:rPr>
      </w:pPr>
    </w:p>
    <w:p w14:paraId="5B710072" w14:textId="192AF8D9" w:rsidR="00E967A8" w:rsidRDefault="00E967A8" w:rsidP="00E967A8">
      <w:pPr>
        <w:pStyle w:val="NormalWeb"/>
        <w:spacing w:before="0" w:beforeAutospacing="0" w:after="0" w:afterAutospacing="0"/>
        <w:rPr>
          <w:rFonts w:asciiTheme="majorHAnsi" w:hAnsiTheme="majorHAnsi" w:cstheme="majorHAnsi"/>
          <w:sz w:val="20"/>
          <w:szCs w:val="20"/>
        </w:rPr>
      </w:pPr>
    </w:p>
    <w:p w14:paraId="209951BC" w14:textId="34E155EA" w:rsidR="00E967A8" w:rsidRDefault="00E967A8" w:rsidP="00E967A8">
      <w:pPr>
        <w:pStyle w:val="NormalWeb"/>
        <w:spacing w:before="0" w:beforeAutospacing="0" w:after="0" w:afterAutospacing="0"/>
        <w:rPr>
          <w:rFonts w:asciiTheme="majorHAnsi" w:hAnsiTheme="majorHAnsi" w:cstheme="majorHAnsi"/>
          <w:sz w:val="20"/>
          <w:szCs w:val="20"/>
        </w:rPr>
      </w:pPr>
    </w:p>
    <w:p w14:paraId="43A9C9D3" w14:textId="63B078FE" w:rsidR="00E967A8" w:rsidRDefault="00E967A8" w:rsidP="00E967A8">
      <w:pPr>
        <w:pStyle w:val="NormalWeb"/>
        <w:spacing w:before="0" w:beforeAutospacing="0" w:after="0" w:afterAutospacing="0"/>
        <w:rPr>
          <w:rFonts w:asciiTheme="majorHAnsi" w:hAnsiTheme="majorHAnsi" w:cstheme="majorHAnsi"/>
          <w:sz w:val="20"/>
          <w:szCs w:val="20"/>
        </w:rPr>
      </w:pPr>
    </w:p>
    <w:p w14:paraId="041EA435" w14:textId="268E495E" w:rsidR="00E967A8" w:rsidRDefault="00E967A8" w:rsidP="00E967A8">
      <w:pPr>
        <w:pStyle w:val="NormalWeb"/>
        <w:spacing w:before="0" w:beforeAutospacing="0" w:after="0" w:afterAutospacing="0"/>
        <w:rPr>
          <w:rFonts w:asciiTheme="majorHAnsi" w:hAnsiTheme="majorHAnsi" w:cstheme="majorHAnsi"/>
          <w:sz w:val="20"/>
          <w:szCs w:val="20"/>
        </w:rPr>
      </w:pPr>
    </w:p>
    <w:p w14:paraId="3BA152E5" w14:textId="36F5FA6D" w:rsidR="00E967A8" w:rsidRDefault="00E967A8" w:rsidP="00E967A8">
      <w:pPr>
        <w:pStyle w:val="NormalWeb"/>
        <w:spacing w:before="0" w:beforeAutospacing="0" w:after="0" w:afterAutospacing="0"/>
        <w:rPr>
          <w:rFonts w:asciiTheme="majorHAnsi" w:hAnsiTheme="majorHAnsi" w:cstheme="majorHAnsi"/>
          <w:sz w:val="20"/>
          <w:szCs w:val="20"/>
        </w:rPr>
      </w:pPr>
    </w:p>
    <w:p w14:paraId="1594FC45" w14:textId="3782F094" w:rsidR="00E967A8" w:rsidRPr="00C81757" w:rsidRDefault="00E967A8" w:rsidP="00E967A8">
      <w:pPr>
        <w:pStyle w:val="NormalWeb"/>
        <w:spacing w:before="0" w:beforeAutospacing="0" w:after="0" w:afterAutospacing="0"/>
        <w:rPr>
          <w:rFonts w:asciiTheme="majorHAnsi" w:hAnsiTheme="majorHAnsi" w:cstheme="majorHAnsi"/>
          <w:sz w:val="20"/>
          <w:szCs w:val="20"/>
        </w:rPr>
      </w:pPr>
      <w:r w:rsidRPr="00B11BAD">
        <w:rPr>
          <w:rFonts w:eastAsiaTheme="minorEastAsia"/>
          <w:noProof/>
          <w:sz w:val="22"/>
          <w:szCs w:val="22"/>
        </w:rPr>
        <w:lastRenderedPageBreak/>
        <w:drawing>
          <wp:inline distT="0" distB="0" distL="0" distR="0" wp14:anchorId="35541CDB" wp14:editId="25ABFD31">
            <wp:extent cx="6088611" cy="3424844"/>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211439" cy="3493935"/>
                    </a:xfrm>
                    <a:prstGeom prst="rect">
                      <a:avLst/>
                    </a:prstGeom>
                  </pic:spPr>
                </pic:pic>
              </a:graphicData>
            </a:graphic>
          </wp:inline>
        </w:drawing>
      </w:r>
    </w:p>
    <w:sectPr w:rsidR="00E967A8" w:rsidRPr="00C81757">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0492A2" w14:textId="77777777" w:rsidR="00DF436B" w:rsidRDefault="00DF436B">
      <w:r>
        <w:separator/>
      </w:r>
    </w:p>
  </w:endnote>
  <w:endnote w:type="continuationSeparator" w:id="0">
    <w:p w14:paraId="071D0814" w14:textId="77777777" w:rsidR="00DF436B" w:rsidRDefault="00DF43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1101F5" w14:textId="77777777" w:rsidR="00E967A8" w:rsidRDefault="00E967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A26D81" w14:textId="77777777" w:rsidR="00257053" w:rsidRDefault="00257053">
    <w:pPr>
      <w:pBdr>
        <w:top w:val="nil"/>
        <w:left w:val="nil"/>
        <w:bottom w:val="nil"/>
        <w:right w:val="nil"/>
        <w:between w:val="nil"/>
      </w:pBdr>
      <w:tabs>
        <w:tab w:val="center" w:pos="4320"/>
        <w:tab w:val="right" w:pos="8640"/>
      </w:tabs>
      <w:jc w:val="right"/>
      <w:rPr>
        <w:color w:val="000000"/>
      </w:rPr>
    </w:pPr>
  </w:p>
  <w:p w14:paraId="304FE3F4" w14:textId="77777777" w:rsidR="00257053" w:rsidRDefault="00257053">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4B53AD" w14:textId="77777777" w:rsidR="00E967A8" w:rsidRDefault="00E967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4E12B0" w14:textId="77777777" w:rsidR="00DF436B" w:rsidRDefault="00DF436B">
      <w:r>
        <w:separator/>
      </w:r>
    </w:p>
  </w:footnote>
  <w:footnote w:type="continuationSeparator" w:id="0">
    <w:p w14:paraId="7D272F27" w14:textId="77777777" w:rsidR="00DF436B" w:rsidRDefault="00DF43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D74A36" w14:textId="77777777" w:rsidR="0018098C" w:rsidRDefault="001809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39B78C" w14:textId="77777777" w:rsidR="0018098C" w:rsidRDefault="001809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62DFC" w14:textId="77777777" w:rsidR="0018098C" w:rsidRDefault="001809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881595"/>
    <w:multiLevelType w:val="hybridMultilevel"/>
    <w:tmpl w:val="AE64C2A8"/>
    <w:lvl w:ilvl="0" w:tplc="57EE9E82">
      <w:start w:val="1"/>
      <w:numFmt w:val="upperLetter"/>
      <w:lvlText w:val="%1.)"/>
      <w:lvlJc w:val="left"/>
      <w:pPr>
        <w:ind w:left="720" w:hanging="360"/>
      </w:pPr>
      <w:rPr>
        <w:rFonts w:ascii="Times New Roman" w:hAnsi="Times New Roman" w:cs="Times New Roman"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B4179F"/>
    <w:multiLevelType w:val="multilevel"/>
    <w:tmpl w:val="CEDED2D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591A0616"/>
    <w:multiLevelType w:val="hybridMultilevel"/>
    <w:tmpl w:val="82F0CB06"/>
    <w:lvl w:ilvl="0" w:tplc="3CCCD668">
      <w:start w:val="1"/>
      <w:numFmt w:val="decimal"/>
      <w:lvlText w:val="%1."/>
      <w:lvlJc w:val="left"/>
      <w:pPr>
        <w:ind w:left="360" w:hanging="360"/>
      </w:pPr>
      <w:rPr>
        <w:sz w:val="24"/>
      </w:rPr>
    </w:lvl>
    <w:lvl w:ilvl="1" w:tplc="04090019" w:tentative="1">
      <w:start w:val="1"/>
      <w:numFmt w:val="lowerLetter"/>
      <w:lvlText w:val="%2."/>
      <w:lvlJc w:val="left"/>
      <w:pPr>
        <w:ind w:left="994" w:hanging="360"/>
      </w:pPr>
    </w:lvl>
    <w:lvl w:ilvl="2" w:tplc="0409001B" w:tentative="1">
      <w:start w:val="1"/>
      <w:numFmt w:val="lowerRoman"/>
      <w:lvlText w:val="%3."/>
      <w:lvlJc w:val="right"/>
      <w:pPr>
        <w:ind w:left="1714" w:hanging="180"/>
      </w:pPr>
    </w:lvl>
    <w:lvl w:ilvl="3" w:tplc="0409000F" w:tentative="1">
      <w:start w:val="1"/>
      <w:numFmt w:val="decimal"/>
      <w:lvlText w:val="%4."/>
      <w:lvlJc w:val="left"/>
      <w:pPr>
        <w:ind w:left="2434" w:hanging="360"/>
      </w:pPr>
    </w:lvl>
    <w:lvl w:ilvl="4" w:tplc="04090019" w:tentative="1">
      <w:start w:val="1"/>
      <w:numFmt w:val="lowerLetter"/>
      <w:lvlText w:val="%5."/>
      <w:lvlJc w:val="left"/>
      <w:pPr>
        <w:ind w:left="3154" w:hanging="360"/>
      </w:pPr>
    </w:lvl>
    <w:lvl w:ilvl="5" w:tplc="0409001B" w:tentative="1">
      <w:start w:val="1"/>
      <w:numFmt w:val="lowerRoman"/>
      <w:lvlText w:val="%6."/>
      <w:lvlJc w:val="right"/>
      <w:pPr>
        <w:ind w:left="3874" w:hanging="180"/>
      </w:pPr>
    </w:lvl>
    <w:lvl w:ilvl="6" w:tplc="0409000F" w:tentative="1">
      <w:start w:val="1"/>
      <w:numFmt w:val="decimal"/>
      <w:lvlText w:val="%7."/>
      <w:lvlJc w:val="left"/>
      <w:pPr>
        <w:ind w:left="4594" w:hanging="360"/>
      </w:pPr>
    </w:lvl>
    <w:lvl w:ilvl="7" w:tplc="04090019" w:tentative="1">
      <w:start w:val="1"/>
      <w:numFmt w:val="lowerLetter"/>
      <w:lvlText w:val="%8."/>
      <w:lvlJc w:val="left"/>
      <w:pPr>
        <w:ind w:left="5314" w:hanging="360"/>
      </w:pPr>
    </w:lvl>
    <w:lvl w:ilvl="8" w:tplc="0409001B" w:tentative="1">
      <w:start w:val="1"/>
      <w:numFmt w:val="lowerRoman"/>
      <w:lvlText w:val="%9."/>
      <w:lvlJc w:val="right"/>
      <w:pPr>
        <w:ind w:left="6034" w:hanging="180"/>
      </w:pPr>
    </w:lvl>
  </w:abstractNum>
  <w:abstractNum w:abstractNumId="3" w15:restartNumberingAfterBreak="0">
    <w:nsid w:val="5F4E0012"/>
    <w:multiLevelType w:val="hybridMultilevel"/>
    <w:tmpl w:val="E0304D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053"/>
    <w:rsid w:val="00083668"/>
    <w:rsid w:val="0018098C"/>
    <w:rsid w:val="001A16E7"/>
    <w:rsid w:val="001D25B1"/>
    <w:rsid w:val="00257053"/>
    <w:rsid w:val="00311B4C"/>
    <w:rsid w:val="004D1C22"/>
    <w:rsid w:val="00574A0F"/>
    <w:rsid w:val="006714E2"/>
    <w:rsid w:val="00A42246"/>
    <w:rsid w:val="00B11BAD"/>
    <w:rsid w:val="00B41521"/>
    <w:rsid w:val="00C81757"/>
    <w:rsid w:val="00CD4453"/>
    <w:rsid w:val="00D54930"/>
    <w:rsid w:val="00D878A6"/>
    <w:rsid w:val="00DF436B"/>
    <w:rsid w:val="00E14207"/>
    <w:rsid w:val="00E20FD0"/>
    <w:rsid w:val="00E96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7F0946"/>
  <w15:docId w15:val="{BF168D07-25AB-E845-9526-64001BFB5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18098C"/>
    <w:pPr>
      <w:tabs>
        <w:tab w:val="center" w:pos="4680"/>
        <w:tab w:val="right" w:pos="9360"/>
      </w:tabs>
    </w:pPr>
  </w:style>
  <w:style w:type="character" w:customStyle="1" w:styleId="HeaderChar">
    <w:name w:val="Header Char"/>
    <w:basedOn w:val="DefaultParagraphFont"/>
    <w:link w:val="Header"/>
    <w:uiPriority w:val="99"/>
    <w:rsid w:val="0018098C"/>
  </w:style>
  <w:style w:type="paragraph" w:styleId="Footer">
    <w:name w:val="footer"/>
    <w:basedOn w:val="Normal"/>
    <w:link w:val="FooterChar"/>
    <w:uiPriority w:val="99"/>
    <w:unhideWhenUsed/>
    <w:rsid w:val="0018098C"/>
    <w:pPr>
      <w:tabs>
        <w:tab w:val="center" w:pos="4680"/>
        <w:tab w:val="right" w:pos="9360"/>
      </w:tabs>
    </w:pPr>
  </w:style>
  <w:style w:type="character" w:customStyle="1" w:styleId="FooterChar">
    <w:name w:val="Footer Char"/>
    <w:basedOn w:val="DefaultParagraphFont"/>
    <w:link w:val="Footer"/>
    <w:uiPriority w:val="99"/>
    <w:rsid w:val="0018098C"/>
  </w:style>
  <w:style w:type="paragraph" w:styleId="ListParagraph">
    <w:name w:val="List Paragraph"/>
    <w:basedOn w:val="Normal"/>
    <w:uiPriority w:val="34"/>
    <w:qFormat/>
    <w:rsid w:val="0018098C"/>
    <w:pPr>
      <w:widowControl/>
      <w:ind w:left="720"/>
      <w:contextualSpacing/>
    </w:pPr>
    <w:rPr>
      <w:rFonts w:asciiTheme="minorHAnsi" w:eastAsia="SimSun" w:hAnsiTheme="minorHAnsi" w:cstheme="minorBidi"/>
      <w:sz w:val="24"/>
      <w:szCs w:val="24"/>
    </w:rPr>
  </w:style>
  <w:style w:type="character" w:styleId="Hyperlink">
    <w:name w:val="Hyperlink"/>
    <w:rsid w:val="00B11BAD"/>
    <w:rPr>
      <w:color w:val="0000FF"/>
      <w:u w:val="single"/>
    </w:rPr>
  </w:style>
  <w:style w:type="paragraph" w:styleId="NormalWeb">
    <w:name w:val="Normal (Web)"/>
    <w:basedOn w:val="Normal"/>
    <w:uiPriority w:val="99"/>
    <w:unhideWhenUsed/>
    <w:rsid w:val="00B11BAD"/>
    <w:pPr>
      <w:widowControl/>
      <w:spacing w:before="100" w:beforeAutospacing="1" w:after="100" w:afterAutospacing="1"/>
    </w:pPr>
    <w:rPr>
      <w:sz w:val="24"/>
      <w:szCs w:val="24"/>
      <w:lang w:eastAsia="zh-CN"/>
    </w:rPr>
  </w:style>
  <w:style w:type="character" w:customStyle="1" w:styleId="apple-converted-space">
    <w:name w:val="apple-converted-space"/>
    <w:basedOn w:val="DefaultParagraphFont"/>
    <w:rsid w:val="00B11BAD"/>
  </w:style>
  <w:style w:type="character" w:styleId="Emphasis">
    <w:name w:val="Emphasis"/>
    <w:basedOn w:val="DefaultParagraphFont"/>
    <w:uiPriority w:val="20"/>
    <w:qFormat/>
    <w:rsid w:val="00B11BAD"/>
    <w:rPr>
      <w:i/>
      <w:iCs/>
    </w:rPr>
  </w:style>
  <w:style w:type="character" w:styleId="PlaceholderText">
    <w:name w:val="Placeholder Text"/>
    <w:basedOn w:val="DefaultParagraphFont"/>
    <w:uiPriority w:val="99"/>
    <w:semiHidden/>
    <w:rsid w:val="00B11BAD"/>
    <w:rPr>
      <w:color w:val="808080"/>
    </w:rPr>
  </w:style>
  <w:style w:type="paragraph" w:styleId="BalloonText">
    <w:name w:val="Balloon Text"/>
    <w:basedOn w:val="Normal"/>
    <w:link w:val="BalloonTextChar"/>
    <w:uiPriority w:val="99"/>
    <w:semiHidden/>
    <w:unhideWhenUsed/>
    <w:rsid w:val="00E967A8"/>
    <w:rPr>
      <w:sz w:val="18"/>
      <w:szCs w:val="18"/>
    </w:rPr>
  </w:style>
  <w:style w:type="character" w:customStyle="1" w:styleId="BalloonTextChar">
    <w:name w:val="Balloon Text Char"/>
    <w:basedOn w:val="DefaultParagraphFont"/>
    <w:link w:val="BalloonText"/>
    <w:uiPriority w:val="99"/>
    <w:semiHidden/>
    <w:rsid w:val="00E967A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0677461">
      <w:bodyDiv w:val="1"/>
      <w:marLeft w:val="0"/>
      <w:marRight w:val="0"/>
      <w:marTop w:val="0"/>
      <w:marBottom w:val="0"/>
      <w:divBdr>
        <w:top w:val="none" w:sz="0" w:space="0" w:color="auto"/>
        <w:left w:val="none" w:sz="0" w:space="0" w:color="auto"/>
        <w:bottom w:val="none" w:sz="0" w:space="0" w:color="auto"/>
        <w:right w:val="none" w:sz="0" w:space="0" w:color="auto"/>
      </w:divBdr>
    </w:div>
    <w:div w:id="1445542965">
      <w:bodyDiv w:val="1"/>
      <w:marLeft w:val="0"/>
      <w:marRight w:val="0"/>
      <w:marTop w:val="0"/>
      <w:marBottom w:val="0"/>
      <w:divBdr>
        <w:top w:val="none" w:sz="0" w:space="0" w:color="auto"/>
        <w:left w:val="none" w:sz="0" w:space="0" w:color="auto"/>
        <w:bottom w:val="none" w:sz="0" w:space="0" w:color="auto"/>
        <w:right w:val="none" w:sz="0" w:space="0" w:color="auto"/>
      </w:divBdr>
    </w:div>
    <w:div w:id="1604218996">
      <w:bodyDiv w:val="1"/>
      <w:marLeft w:val="0"/>
      <w:marRight w:val="0"/>
      <w:marTop w:val="0"/>
      <w:marBottom w:val="0"/>
      <w:divBdr>
        <w:top w:val="none" w:sz="0" w:space="0" w:color="auto"/>
        <w:left w:val="none" w:sz="0" w:space="0" w:color="auto"/>
        <w:bottom w:val="none" w:sz="0" w:space="0" w:color="auto"/>
        <w:right w:val="none" w:sz="0" w:space="0" w:color="auto"/>
      </w:divBdr>
    </w:div>
    <w:div w:id="19501581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emf"/><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93/jamia/ocz199" TargetMode="Externa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doi.org/10.1093/jamia/ocaa044" TargetMode="External"/><Relationship Id="rId10" Type="http://schemas.openxmlformats.org/officeDocument/2006/relationships/footer" Target="footer2.xm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C2F337C840844B850A908DC2C160C9" ma:contentTypeVersion="9" ma:contentTypeDescription="Create a new document." ma:contentTypeScope="" ma:versionID="a8f5130312f81bf34c16be4629e2fad5">
  <xsd:schema xmlns:xsd="http://www.w3.org/2001/XMLSchema" xmlns:xs="http://www.w3.org/2001/XMLSchema" xmlns:p="http://schemas.microsoft.com/office/2006/metadata/properties" xmlns:ns2="6caed3c8-fb59-43a8-8b50-4ee1cdb72179" targetNamespace="http://schemas.microsoft.com/office/2006/metadata/properties" ma:root="true" ma:fieldsID="690782c2defcb5519905135aab034438" ns2:_="">
    <xsd:import namespace="6caed3c8-fb59-43a8-8b50-4ee1cdb7217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aed3c8-fb59-43a8-8b50-4ee1cdb721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A2EFAE-AF8A-44A9-9C05-C40C20B9213B}"/>
</file>

<file path=customXml/itemProps2.xml><?xml version="1.0" encoding="utf-8"?>
<ds:datastoreItem xmlns:ds="http://schemas.openxmlformats.org/officeDocument/2006/customXml" ds:itemID="{884490C7-757C-4CC1-B973-BDF0E7D1AB92}"/>
</file>

<file path=customXml/itemProps3.xml><?xml version="1.0" encoding="utf-8"?>
<ds:datastoreItem xmlns:ds="http://schemas.openxmlformats.org/officeDocument/2006/customXml" ds:itemID="{898910FC-7AE0-4EA5-ADFC-6BE3C647FE1D}"/>
</file>

<file path=docProps/app.xml><?xml version="1.0" encoding="utf-8"?>
<Properties xmlns="http://schemas.openxmlformats.org/officeDocument/2006/extended-properties" xmlns:vt="http://schemas.openxmlformats.org/officeDocument/2006/docPropsVTypes">
  <Template>Normal.dotm</Template>
  <TotalTime>1</TotalTime>
  <Pages>6</Pages>
  <Words>1673</Words>
  <Characters>9540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Edmondson, Mackenzie</dc:creator>
  <cp:keywords/>
  <dc:description/>
  <cp:lastModifiedBy>Edmondson, Mackenzie</cp:lastModifiedBy>
  <cp:revision>2</cp:revision>
  <dcterms:created xsi:type="dcterms:W3CDTF">2020-10-09T21:29:00Z</dcterms:created>
  <dcterms:modified xsi:type="dcterms:W3CDTF">2020-10-09T21:29:00Z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0x01010088C2F337C840844B850A908DC2C160C9</vt:lpwstr>
  </property>
</Properties>
</file>