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jc w:val="center"/>
        <w:tblLook w:val="04A0" w:firstRow="1" w:lastRow="0" w:firstColumn="1" w:lastColumn="0" w:noHBand="0" w:noVBand="1"/>
      </w:tblPr>
      <w:tblGrid>
        <w:gridCol w:w="1764"/>
        <w:gridCol w:w="4284"/>
      </w:tblGrid>
      <w:tr w:rsidR="00477061" w:rsidRPr="006111EB" w14:paraId="45D46397" w14:textId="77777777" w:rsidTr="00477061">
        <w:trPr>
          <w:trHeight w:val="413"/>
          <w:jc w:val="center"/>
        </w:trPr>
        <w:tc>
          <w:tcPr>
            <w:tcW w:w="1764" w:type="dxa"/>
          </w:tcPr>
          <w:p w14:paraId="660F79F9" w14:textId="77777777" w:rsidR="00477061" w:rsidRPr="006111EB" w:rsidRDefault="00477061" w:rsidP="00477061">
            <w:pPr>
              <w:rPr>
                <w:rFonts w:ascii="Calibri" w:hAnsi="Calibri" w:cs="Calibri"/>
                <w:sz w:val="22"/>
                <w:szCs w:val="22"/>
              </w:rPr>
            </w:pPr>
            <w:r w:rsidRPr="006111EB">
              <w:rPr>
                <w:rFonts w:ascii="Calibri" w:hAnsi="Calibri" w:cs="Calibri"/>
                <w:sz w:val="22"/>
                <w:szCs w:val="22"/>
              </w:rPr>
              <w:t>Name:</w:t>
            </w:r>
          </w:p>
        </w:tc>
        <w:tc>
          <w:tcPr>
            <w:tcW w:w="4284" w:type="dxa"/>
          </w:tcPr>
          <w:p w14:paraId="7AC72B48" w14:textId="0EE5EEA8" w:rsidR="00477061" w:rsidRPr="006111EB" w:rsidRDefault="00B460F6" w:rsidP="00477061">
            <w:pPr>
              <w:rPr>
                <w:rFonts w:ascii="Calibri" w:hAnsi="Calibri" w:cs="Calibri"/>
                <w:sz w:val="22"/>
                <w:szCs w:val="22"/>
                <w:lang w:eastAsia="ko-KR"/>
              </w:rPr>
            </w:pPr>
            <w:r w:rsidRPr="006111EB">
              <w:rPr>
                <w:rFonts w:ascii="Calibri" w:hAnsi="Calibri" w:cs="Calibri"/>
                <w:sz w:val="22"/>
                <w:szCs w:val="22"/>
                <w:lang w:eastAsia="ko-KR"/>
              </w:rPr>
              <w:t>Seng Chan You</w:t>
            </w:r>
          </w:p>
        </w:tc>
      </w:tr>
      <w:tr w:rsidR="00477061" w:rsidRPr="006111EB" w14:paraId="2B0FDEB7" w14:textId="77777777" w:rsidTr="00477061">
        <w:trPr>
          <w:jc w:val="center"/>
        </w:trPr>
        <w:tc>
          <w:tcPr>
            <w:tcW w:w="1764" w:type="dxa"/>
          </w:tcPr>
          <w:p w14:paraId="7FFD6A33" w14:textId="77777777" w:rsidR="00477061" w:rsidRPr="006111EB" w:rsidRDefault="00477061" w:rsidP="00477061">
            <w:pPr>
              <w:rPr>
                <w:rFonts w:ascii="Calibri" w:hAnsi="Calibri" w:cs="Calibri"/>
                <w:sz w:val="22"/>
                <w:szCs w:val="22"/>
              </w:rPr>
            </w:pPr>
            <w:r w:rsidRPr="006111EB">
              <w:rPr>
                <w:rFonts w:ascii="Calibri" w:hAnsi="Calibri" w:cs="Calibri"/>
                <w:sz w:val="22"/>
                <w:szCs w:val="22"/>
              </w:rPr>
              <w:t>Affiliation:</w:t>
            </w:r>
          </w:p>
        </w:tc>
        <w:tc>
          <w:tcPr>
            <w:tcW w:w="4284" w:type="dxa"/>
          </w:tcPr>
          <w:p w14:paraId="37E01845" w14:textId="0AF03BE1" w:rsidR="00477061" w:rsidRPr="006111EB" w:rsidRDefault="00B460F6" w:rsidP="00477061">
            <w:pPr>
              <w:rPr>
                <w:rFonts w:ascii="Calibri" w:hAnsi="Calibri" w:cs="Calibri"/>
                <w:sz w:val="22"/>
                <w:szCs w:val="22"/>
              </w:rPr>
            </w:pPr>
            <w:r w:rsidRPr="006111EB">
              <w:rPr>
                <w:rFonts w:ascii="Calibri" w:hAnsi="Calibri" w:cs="Calibri"/>
                <w:sz w:val="22"/>
                <w:szCs w:val="22"/>
              </w:rPr>
              <w:t xml:space="preserve">Department of Biomedical Informatics, </w:t>
            </w:r>
            <w:proofErr w:type="spellStart"/>
            <w:r w:rsidRPr="006111EB">
              <w:rPr>
                <w:rFonts w:ascii="Calibri" w:hAnsi="Calibri" w:cs="Calibri"/>
                <w:sz w:val="22"/>
                <w:szCs w:val="22"/>
              </w:rPr>
              <w:t>Ajou</w:t>
            </w:r>
            <w:proofErr w:type="spellEnd"/>
            <w:r w:rsidRPr="006111EB">
              <w:rPr>
                <w:rFonts w:ascii="Calibri" w:hAnsi="Calibri" w:cs="Calibri"/>
                <w:sz w:val="22"/>
                <w:szCs w:val="22"/>
              </w:rPr>
              <w:t xml:space="preserve"> University School of Medicine, Suwon, Korea</w:t>
            </w:r>
          </w:p>
        </w:tc>
      </w:tr>
      <w:tr w:rsidR="00477061" w:rsidRPr="006111EB" w14:paraId="321F6C8E" w14:textId="77777777" w:rsidTr="00477061">
        <w:trPr>
          <w:jc w:val="center"/>
        </w:trPr>
        <w:tc>
          <w:tcPr>
            <w:tcW w:w="1764" w:type="dxa"/>
          </w:tcPr>
          <w:p w14:paraId="1ADFEF8B" w14:textId="77777777" w:rsidR="00477061" w:rsidRPr="006111EB" w:rsidRDefault="00477061" w:rsidP="00477061">
            <w:pPr>
              <w:rPr>
                <w:rFonts w:ascii="Calibri" w:hAnsi="Calibri" w:cs="Calibri"/>
                <w:sz w:val="22"/>
                <w:szCs w:val="22"/>
              </w:rPr>
            </w:pPr>
            <w:r w:rsidRPr="006111EB">
              <w:rPr>
                <w:rFonts w:ascii="Calibri" w:hAnsi="Calibri" w:cs="Calibri"/>
                <w:sz w:val="22"/>
                <w:szCs w:val="22"/>
              </w:rPr>
              <w:t>Email:</w:t>
            </w:r>
          </w:p>
        </w:tc>
        <w:tc>
          <w:tcPr>
            <w:tcW w:w="4284" w:type="dxa"/>
          </w:tcPr>
          <w:p w14:paraId="1BF571E7" w14:textId="30A6E59D" w:rsidR="00477061" w:rsidRPr="006111EB" w:rsidRDefault="00B460F6" w:rsidP="00477061">
            <w:pPr>
              <w:rPr>
                <w:rFonts w:ascii="Calibri" w:hAnsi="Calibri" w:cs="Calibri"/>
                <w:sz w:val="22"/>
                <w:szCs w:val="22"/>
                <w:lang w:eastAsia="ko-KR"/>
              </w:rPr>
            </w:pPr>
            <w:r w:rsidRPr="006111EB">
              <w:rPr>
                <w:rFonts w:ascii="Calibri" w:hAnsi="Calibri" w:cs="Calibri"/>
                <w:sz w:val="22"/>
                <w:szCs w:val="22"/>
                <w:lang w:eastAsia="ko-KR"/>
              </w:rPr>
              <w:t>applegna@gmail.com</w:t>
            </w:r>
          </w:p>
        </w:tc>
      </w:tr>
      <w:tr w:rsidR="00477061" w:rsidRPr="006111EB" w14:paraId="4B1F320C" w14:textId="77777777" w:rsidTr="00477061">
        <w:trPr>
          <w:jc w:val="center"/>
        </w:trPr>
        <w:tc>
          <w:tcPr>
            <w:tcW w:w="1764" w:type="dxa"/>
          </w:tcPr>
          <w:p w14:paraId="7A9461EB" w14:textId="3D35E71A" w:rsidR="00477061" w:rsidRPr="006111EB" w:rsidRDefault="00477061" w:rsidP="00477061">
            <w:pPr>
              <w:rPr>
                <w:rFonts w:ascii="Calibri" w:hAnsi="Calibri" w:cs="Calibri"/>
                <w:sz w:val="22"/>
                <w:szCs w:val="22"/>
              </w:rPr>
            </w:pPr>
            <w:r w:rsidRPr="006111EB">
              <w:rPr>
                <w:rFonts w:ascii="Calibri" w:hAnsi="Calibri" w:cs="Calibri"/>
                <w:sz w:val="22"/>
                <w:szCs w:val="22"/>
              </w:rPr>
              <w:t>Presentation type:</w:t>
            </w:r>
          </w:p>
        </w:tc>
        <w:tc>
          <w:tcPr>
            <w:tcW w:w="4284" w:type="dxa"/>
          </w:tcPr>
          <w:p w14:paraId="297D6883" w14:textId="555FC776" w:rsidR="00477061" w:rsidRPr="006111EB" w:rsidRDefault="00477061" w:rsidP="00477061">
            <w:pPr>
              <w:jc w:val="center"/>
              <w:rPr>
                <w:rFonts w:ascii="Calibri" w:hAnsi="Calibri" w:cs="Calibri"/>
                <w:b/>
                <w:sz w:val="22"/>
                <w:szCs w:val="22"/>
              </w:rPr>
            </w:pPr>
            <w:r w:rsidRPr="006111EB">
              <w:rPr>
                <w:rFonts w:ascii="Calibri" w:hAnsi="Calibri" w:cs="Calibri"/>
                <w:sz w:val="22"/>
                <w:szCs w:val="22"/>
              </w:rPr>
              <w:t>Poster</w:t>
            </w:r>
          </w:p>
        </w:tc>
      </w:tr>
    </w:tbl>
    <w:p w14:paraId="1C8531EF" w14:textId="77777777" w:rsidR="0035565E" w:rsidRPr="006111EB" w:rsidRDefault="0035565E" w:rsidP="00940944">
      <w:pPr>
        <w:pStyle w:val="AMIATitle"/>
        <w:rPr>
          <w:rFonts w:ascii="Calibri" w:hAnsi="Calibri" w:cs="Calibri"/>
          <w:sz w:val="22"/>
          <w:szCs w:val="22"/>
        </w:rPr>
      </w:pPr>
    </w:p>
    <w:p w14:paraId="6B6ABD9B" w14:textId="09FF26EE" w:rsidR="00781CE1" w:rsidRPr="006111EB" w:rsidRDefault="00B460F6" w:rsidP="00940944">
      <w:pPr>
        <w:pStyle w:val="AMIATitle"/>
        <w:rPr>
          <w:rFonts w:ascii="Calibri" w:hAnsi="Calibri" w:cs="Calibri"/>
          <w:sz w:val="22"/>
          <w:szCs w:val="22"/>
        </w:rPr>
      </w:pPr>
      <w:r w:rsidRPr="006111EB">
        <w:rPr>
          <w:rFonts w:ascii="Calibri" w:hAnsi="Calibri" w:cs="Calibri"/>
          <w:sz w:val="22"/>
          <w:szCs w:val="22"/>
        </w:rPr>
        <w:t xml:space="preserve">Comparative risk of </w:t>
      </w:r>
      <w:r w:rsidR="009A365C" w:rsidRPr="006111EB">
        <w:rPr>
          <w:rFonts w:ascii="Calibri" w:hAnsi="Calibri" w:cs="Calibri"/>
          <w:sz w:val="22"/>
          <w:szCs w:val="22"/>
        </w:rPr>
        <w:t xml:space="preserve">the </w:t>
      </w:r>
      <w:r w:rsidRPr="006111EB">
        <w:rPr>
          <w:rFonts w:ascii="Calibri" w:hAnsi="Calibri" w:cs="Calibri"/>
          <w:sz w:val="22"/>
          <w:szCs w:val="22"/>
        </w:rPr>
        <w:t xml:space="preserve">incident cancer between </w:t>
      </w:r>
      <w:r w:rsidR="00CD75EA" w:rsidRPr="006111EB">
        <w:rPr>
          <w:rFonts w:ascii="Calibri" w:hAnsi="Calibri" w:cs="Calibri"/>
          <w:sz w:val="22"/>
          <w:szCs w:val="22"/>
        </w:rPr>
        <w:t xml:space="preserve">ranitidine versus other </w:t>
      </w:r>
      <w:r w:rsidRPr="006111EB">
        <w:rPr>
          <w:rFonts w:ascii="Calibri" w:hAnsi="Calibri" w:cs="Calibri"/>
          <w:sz w:val="22"/>
          <w:szCs w:val="22"/>
        </w:rPr>
        <w:t>histamine-2 receptor</w:t>
      </w:r>
      <w:r w:rsidR="00C919C5" w:rsidRPr="006111EB">
        <w:rPr>
          <w:rFonts w:ascii="Calibri" w:hAnsi="Calibri" w:cs="Calibri"/>
          <w:sz w:val="22"/>
          <w:szCs w:val="22"/>
        </w:rPr>
        <w:t xml:space="preserve"> </w:t>
      </w:r>
      <w:r w:rsidR="00B542DC" w:rsidRPr="006111EB">
        <w:rPr>
          <w:rFonts w:ascii="Calibri" w:hAnsi="Calibri" w:cs="Calibri"/>
          <w:sz w:val="22"/>
          <w:szCs w:val="22"/>
        </w:rPr>
        <w:t>antagonists</w:t>
      </w:r>
    </w:p>
    <w:p w14:paraId="78F8CDB4" w14:textId="4560B07A" w:rsidR="00781CE1" w:rsidRDefault="00B460F6" w:rsidP="00940944">
      <w:pPr>
        <w:pStyle w:val="AMIAAuthors"/>
        <w:rPr>
          <w:rFonts w:ascii="Calibri" w:hAnsi="Calibri" w:cs="Calibri"/>
          <w:sz w:val="22"/>
          <w:szCs w:val="22"/>
          <w:vertAlign w:val="superscript"/>
        </w:rPr>
      </w:pPr>
      <w:r w:rsidRPr="006111EB">
        <w:rPr>
          <w:rFonts w:ascii="Calibri" w:hAnsi="Calibri" w:cs="Calibri"/>
          <w:sz w:val="22"/>
          <w:szCs w:val="22"/>
        </w:rPr>
        <w:t>Seng Chan You, MD</w:t>
      </w:r>
      <w:r w:rsidRPr="006111EB">
        <w:rPr>
          <w:rFonts w:ascii="Calibri" w:hAnsi="Calibri" w:cs="Calibri"/>
          <w:sz w:val="22"/>
          <w:szCs w:val="22"/>
          <w:vertAlign w:val="superscript"/>
        </w:rPr>
        <w:t>1</w:t>
      </w:r>
      <w:r w:rsidRPr="006111EB">
        <w:rPr>
          <w:rFonts w:ascii="Calibri" w:hAnsi="Calibri" w:cs="Calibri"/>
          <w:sz w:val="22"/>
          <w:szCs w:val="22"/>
        </w:rPr>
        <w:t>; Seung In Seo, MD</w:t>
      </w:r>
      <w:r w:rsidRPr="006111EB">
        <w:rPr>
          <w:rFonts w:ascii="Calibri" w:hAnsi="Calibri" w:cs="Calibri"/>
          <w:sz w:val="22"/>
          <w:szCs w:val="22"/>
          <w:vertAlign w:val="superscript"/>
        </w:rPr>
        <w:t>2,3</w:t>
      </w:r>
      <w:r w:rsidRPr="006111EB">
        <w:rPr>
          <w:rFonts w:ascii="Calibri" w:hAnsi="Calibri" w:cs="Calibri"/>
          <w:sz w:val="22"/>
          <w:szCs w:val="22"/>
        </w:rPr>
        <w:t xml:space="preserve">; </w:t>
      </w:r>
      <w:r w:rsidR="002E390E" w:rsidRPr="006111EB">
        <w:rPr>
          <w:rFonts w:ascii="Calibri" w:hAnsi="Calibri" w:cs="Calibri"/>
          <w:sz w:val="22"/>
          <w:szCs w:val="22"/>
        </w:rPr>
        <w:t>Thomas Falconer</w:t>
      </w:r>
      <w:r w:rsidR="005F3780" w:rsidRPr="006111EB">
        <w:rPr>
          <w:rFonts w:ascii="Calibri" w:hAnsi="Calibri" w:cs="Calibri"/>
          <w:sz w:val="22"/>
          <w:szCs w:val="22"/>
          <w:vertAlign w:val="superscript"/>
        </w:rPr>
        <w:t>4</w:t>
      </w:r>
      <w:r w:rsidR="000926AE" w:rsidRPr="006111EB">
        <w:rPr>
          <w:rFonts w:ascii="Calibri" w:hAnsi="Calibri" w:cs="Calibri"/>
          <w:sz w:val="22"/>
          <w:szCs w:val="22"/>
        </w:rPr>
        <w:t xml:space="preserve">; </w:t>
      </w:r>
      <w:r w:rsidR="00A255F2" w:rsidRPr="006111EB">
        <w:rPr>
          <w:rFonts w:ascii="Calibri" w:hAnsi="Calibri" w:cs="Calibri"/>
          <w:sz w:val="22"/>
          <w:szCs w:val="22"/>
        </w:rPr>
        <w:t xml:space="preserve">Talita </w:t>
      </w:r>
      <w:r w:rsidR="00591E81" w:rsidRPr="006111EB">
        <w:rPr>
          <w:rFonts w:ascii="Calibri" w:hAnsi="Calibri" w:cs="Calibri"/>
          <w:sz w:val="22"/>
          <w:szCs w:val="22"/>
        </w:rPr>
        <w:t>Duarte-Salles</w:t>
      </w:r>
      <w:r w:rsidR="00591E81" w:rsidRPr="006111EB">
        <w:rPr>
          <w:rFonts w:ascii="Calibri" w:hAnsi="Calibri" w:cs="Calibri"/>
          <w:sz w:val="22"/>
          <w:szCs w:val="22"/>
          <w:vertAlign w:val="superscript"/>
        </w:rPr>
        <w:t>5</w:t>
      </w:r>
      <w:r w:rsidR="00591E81" w:rsidRPr="006111EB">
        <w:rPr>
          <w:rFonts w:ascii="Calibri" w:hAnsi="Calibri" w:cs="Calibri"/>
          <w:sz w:val="22"/>
          <w:szCs w:val="22"/>
        </w:rPr>
        <w:t xml:space="preserve">; </w:t>
      </w:r>
      <w:r w:rsidR="00623BBB" w:rsidRPr="006111EB">
        <w:rPr>
          <w:rFonts w:ascii="Calibri" w:hAnsi="Calibri" w:cs="Calibri"/>
          <w:sz w:val="22"/>
          <w:szCs w:val="22"/>
        </w:rPr>
        <w:t>Hyung Joon Joo</w:t>
      </w:r>
      <w:r w:rsidR="007D4536" w:rsidRPr="006111EB">
        <w:rPr>
          <w:rFonts w:ascii="Calibri" w:hAnsi="Calibri" w:cs="Calibri"/>
          <w:sz w:val="22"/>
          <w:szCs w:val="22"/>
          <w:vertAlign w:val="superscript"/>
        </w:rPr>
        <w:t>6</w:t>
      </w:r>
      <w:r w:rsidR="007D4536" w:rsidRPr="006111EB">
        <w:rPr>
          <w:rFonts w:ascii="Calibri" w:hAnsi="Calibri" w:cs="Calibri"/>
          <w:sz w:val="22"/>
          <w:szCs w:val="22"/>
        </w:rPr>
        <w:t xml:space="preserve">; </w:t>
      </w:r>
      <w:r w:rsidR="00CB281A">
        <w:rPr>
          <w:rFonts w:ascii="Calibri" w:hAnsi="Calibri" w:cs="Calibri"/>
          <w:sz w:val="22"/>
          <w:szCs w:val="22"/>
        </w:rPr>
        <w:t>Daniel Prieto-Alhambra</w:t>
      </w:r>
      <w:r w:rsidR="00CB281A" w:rsidRPr="00CB281A">
        <w:rPr>
          <w:rFonts w:ascii="Calibri" w:hAnsi="Calibri" w:cs="Calibri"/>
          <w:sz w:val="22"/>
          <w:szCs w:val="22"/>
          <w:vertAlign w:val="superscript"/>
        </w:rPr>
        <w:t>7</w:t>
      </w:r>
      <w:r w:rsidR="006A5160" w:rsidRPr="006111EB">
        <w:rPr>
          <w:rFonts w:ascii="Calibri" w:hAnsi="Calibri" w:cs="Calibri"/>
          <w:sz w:val="22"/>
          <w:szCs w:val="22"/>
        </w:rPr>
        <w:t>;</w:t>
      </w:r>
      <w:r w:rsidR="00CB281A">
        <w:rPr>
          <w:rFonts w:ascii="Calibri" w:hAnsi="Calibri" w:cs="Calibri"/>
          <w:sz w:val="22"/>
          <w:szCs w:val="22"/>
        </w:rPr>
        <w:t xml:space="preserve"> </w:t>
      </w:r>
      <w:proofErr w:type="spellStart"/>
      <w:r w:rsidRPr="006111EB">
        <w:rPr>
          <w:rFonts w:ascii="Calibri" w:hAnsi="Calibri" w:cs="Calibri"/>
          <w:sz w:val="22"/>
          <w:szCs w:val="22"/>
        </w:rPr>
        <w:t>Woon</w:t>
      </w:r>
      <w:proofErr w:type="spellEnd"/>
      <w:r w:rsidRPr="006111EB">
        <w:rPr>
          <w:rFonts w:ascii="Calibri" w:hAnsi="Calibri" w:cs="Calibri"/>
          <w:sz w:val="22"/>
          <w:szCs w:val="22"/>
        </w:rPr>
        <w:t xml:space="preserve"> Geon Shin, MD</w:t>
      </w:r>
      <w:r w:rsidRPr="006111EB">
        <w:rPr>
          <w:rFonts w:ascii="Calibri" w:hAnsi="Calibri" w:cs="Calibri"/>
          <w:sz w:val="22"/>
          <w:szCs w:val="22"/>
          <w:vertAlign w:val="superscript"/>
        </w:rPr>
        <w:t>2,3</w:t>
      </w:r>
      <w:r w:rsidRPr="006111EB">
        <w:rPr>
          <w:rFonts w:ascii="Calibri" w:hAnsi="Calibri" w:cs="Calibri"/>
          <w:sz w:val="22"/>
          <w:szCs w:val="22"/>
        </w:rPr>
        <w:t>; Chan Hyuk Park, MD</w:t>
      </w:r>
      <w:r w:rsidR="00CB281A">
        <w:rPr>
          <w:rFonts w:ascii="Calibri" w:hAnsi="Calibri" w:cs="Calibri"/>
          <w:sz w:val="22"/>
          <w:szCs w:val="22"/>
          <w:vertAlign w:val="superscript"/>
        </w:rPr>
        <w:t>8</w:t>
      </w:r>
      <w:r w:rsidRPr="006111EB">
        <w:rPr>
          <w:rFonts w:ascii="Calibri" w:hAnsi="Calibri" w:cs="Calibri"/>
          <w:sz w:val="22"/>
          <w:szCs w:val="22"/>
        </w:rPr>
        <w:t>; Rae Woong Park, MD, PhD</w:t>
      </w:r>
      <w:r w:rsidRPr="006111EB">
        <w:rPr>
          <w:rFonts w:ascii="Calibri" w:hAnsi="Calibri" w:cs="Calibri"/>
          <w:sz w:val="22"/>
          <w:szCs w:val="22"/>
          <w:vertAlign w:val="superscript"/>
        </w:rPr>
        <w:t>1,</w:t>
      </w:r>
      <w:r w:rsidR="00CB281A">
        <w:rPr>
          <w:rFonts w:ascii="Calibri" w:hAnsi="Calibri" w:cs="Calibri"/>
          <w:sz w:val="22"/>
          <w:szCs w:val="22"/>
          <w:vertAlign w:val="superscript"/>
        </w:rPr>
        <w:t>9</w:t>
      </w:r>
    </w:p>
    <w:p w14:paraId="295F11C9" w14:textId="77777777" w:rsidR="00B223C9" w:rsidRPr="00B223C9" w:rsidRDefault="00B223C9" w:rsidP="00B223C9">
      <w:pPr>
        <w:pStyle w:val="AMIAAffiliations"/>
      </w:pPr>
    </w:p>
    <w:p w14:paraId="39171470" w14:textId="3004C96B" w:rsidR="000876BD" w:rsidRPr="006111EB" w:rsidRDefault="000876BD" w:rsidP="00B460F6">
      <w:pPr>
        <w:pStyle w:val="AMIAAffiliations"/>
        <w:rPr>
          <w:rFonts w:ascii="Calibri" w:hAnsi="Calibri" w:cs="Calibri"/>
          <w:sz w:val="22"/>
          <w:szCs w:val="22"/>
        </w:rPr>
      </w:pPr>
      <w:r w:rsidRPr="006111EB">
        <w:rPr>
          <w:rFonts w:ascii="Calibri" w:hAnsi="Calibri" w:cs="Calibri"/>
          <w:sz w:val="22"/>
          <w:szCs w:val="22"/>
          <w:vertAlign w:val="superscript"/>
        </w:rPr>
        <w:t>1</w:t>
      </w:r>
      <w:r w:rsidR="00B460F6" w:rsidRPr="006111EB">
        <w:rPr>
          <w:rFonts w:ascii="Calibri" w:hAnsi="Calibri" w:cs="Calibri"/>
          <w:sz w:val="22"/>
          <w:szCs w:val="22"/>
        </w:rPr>
        <w:t xml:space="preserve">Department of Biomedical Informatics, </w:t>
      </w:r>
      <w:proofErr w:type="spellStart"/>
      <w:r w:rsidR="00B460F6" w:rsidRPr="006111EB">
        <w:rPr>
          <w:rFonts w:ascii="Calibri" w:hAnsi="Calibri" w:cs="Calibri"/>
          <w:sz w:val="22"/>
          <w:szCs w:val="22"/>
        </w:rPr>
        <w:t>Ajou</w:t>
      </w:r>
      <w:proofErr w:type="spellEnd"/>
      <w:r w:rsidR="00B460F6" w:rsidRPr="006111EB">
        <w:rPr>
          <w:rFonts w:ascii="Calibri" w:hAnsi="Calibri" w:cs="Calibri"/>
          <w:sz w:val="22"/>
          <w:szCs w:val="22"/>
        </w:rPr>
        <w:t xml:space="preserve"> University School of Medicine, Suwon, Korea</w:t>
      </w:r>
      <w:r w:rsidRPr="006111EB">
        <w:rPr>
          <w:rFonts w:ascii="Calibri" w:hAnsi="Calibri" w:cs="Calibri"/>
          <w:sz w:val="22"/>
          <w:szCs w:val="22"/>
        </w:rPr>
        <w:t>;</w:t>
      </w:r>
      <w:r w:rsidR="00B460F6" w:rsidRPr="006111EB">
        <w:rPr>
          <w:rFonts w:ascii="Calibri" w:hAnsi="Calibri" w:cs="Calibri"/>
          <w:sz w:val="22"/>
          <w:szCs w:val="22"/>
        </w:rPr>
        <w:t xml:space="preserve"> </w:t>
      </w:r>
      <w:r w:rsidR="00B460F6" w:rsidRPr="006111EB">
        <w:rPr>
          <w:rFonts w:ascii="Calibri" w:hAnsi="Calibri" w:cs="Calibri"/>
          <w:sz w:val="22"/>
          <w:szCs w:val="22"/>
          <w:vertAlign w:val="superscript"/>
        </w:rPr>
        <w:t>2</w:t>
      </w:r>
      <w:r w:rsidR="00B460F6" w:rsidRPr="006111EB">
        <w:rPr>
          <w:rFonts w:ascii="Calibri" w:hAnsi="Calibri" w:cs="Calibri"/>
          <w:sz w:val="22"/>
          <w:szCs w:val="22"/>
        </w:rPr>
        <w:t xml:space="preserve">Departments of Internal Medicine, </w:t>
      </w:r>
      <w:proofErr w:type="spellStart"/>
      <w:r w:rsidR="00B460F6" w:rsidRPr="006111EB">
        <w:rPr>
          <w:rFonts w:ascii="Calibri" w:hAnsi="Calibri" w:cs="Calibri"/>
          <w:sz w:val="22"/>
          <w:szCs w:val="22"/>
        </w:rPr>
        <w:t>Kangdong</w:t>
      </w:r>
      <w:proofErr w:type="spellEnd"/>
      <w:r w:rsidR="00B460F6" w:rsidRPr="006111EB">
        <w:rPr>
          <w:rFonts w:ascii="Calibri" w:hAnsi="Calibri" w:cs="Calibri"/>
          <w:sz w:val="22"/>
          <w:szCs w:val="22"/>
        </w:rPr>
        <w:t xml:space="preserve"> Sacred Heart Hospital</w:t>
      </w:r>
      <w:r w:rsidR="00693BB3" w:rsidRPr="006111EB">
        <w:rPr>
          <w:rFonts w:ascii="Calibri" w:hAnsi="Calibri" w:cs="Calibri"/>
          <w:sz w:val="22"/>
          <w:szCs w:val="22"/>
        </w:rPr>
        <w:t>, Seoul, Korea</w:t>
      </w:r>
      <w:r w:rsidR="00B460F6" w:rsidRPr="006111EB">
        <w:rPr>
          <w:rFonts w:ascii="Calibri" w:hAnsi="Calibri" w:cs="Calibri"/>
          <w:sz w:val="22"/>
          <w:szCs w:val="22"/>
        </w:rPr>
        <w:t xml:space="preserve">; </w:t>
      </w:r>
      <w:r w:rsidR="00B460F6" w:rsidRPr="006111EB">
        <w:rPr>
          <w:rFonts w:ascii="Calibri" w:hAnsi="Calibri" w:cs="Calibri"/>
          <w:sz w:val="22"/>
          <w:szCs w:val="22"/>
          <w:vertAlign w:val="superscript"/>
        </w:rPr>
        <w:t>3</w:t>
      </w:r>
      <w:r w:rsidR="00B460F6" w:rsidRPr="006111EB">
        <w:rPr>
          <w:rFonts w:ascii="Calibri" w:hAnsi="Calibri" w:cs="Calibri"/>
          <w:sz w:val="22"/>
          <w:szCs w:val="22"/>
        </w:rPr>
        <w:t xml:space="preserve">Institute for Liver and Digestive Diseases, </w:t>
      </w:r>
      <w:proofErr w:type="spellStart"/>
      <w:r w:rsidR="00B460F6" w:rsidRPr="006111EB">
        <w:rPr>
          <w:rFonts w:ascii="Calibri" w:hAnsi="Calibri" w:cs="Calibri"/>
          <w:sz w:val="22"/>
          <w:szCs w:val="22"/>
        </w:rPr>
        <w:t>Hallym</w:t>
      </w:r>
      <w:proofErr w:type="spellEnd"/>
      <w:r w:rsidR="00B460F6" w:rsidRPr="006111EB">
        <w:rPr>
          <w:rFonts w:ascii="Calibri" w:hAnsi="Calibri" w:cs="Calibri"/>
          <w:sz w:val="22"/>
          <w:szCs w:val="22"/>
        </w:rPr>
        <w:t xml:space="preserve"> University, </w:t>
      </w:r>
      <w:proofErr w:type="spellStart"/>
      <w:r w:rsidR="00B460F6" w:rsidRPr="006111EB">
        <w:rPr>
          <w:rFonts w:ascii="Calibri" w:hAnsi="Calibri" w:cs="Calibri"/>
          <w:sz w:val="22"/>
          <w:szCs w:val="22"/>
        </w:rPr>
        <w:t>Chuncheon</w:t>
      </w:r>
      <w:proofErr w:type="spellEnd"/>
      <w:r w:rsidR="00693BB3" w:rsidRPr="006111EB">
        <w:rPr>
          <w:rFonts w:ascii="Calibri" w:hAnsi="Calibri" w:cs="Calibri"/>
          <w:sz w:val="22"/>
          <w:szCs w:val="22"/>
        </w:rPr>
        <w:t>, Korea</w:t>
      </w:r>
      <w:r w:rsidR="00B460F6" w:rsidRPr="006111EB">
        <w:rPr>
          <w:rFonts w:ascii="Calibri" w:hAnsi="Calibri" w:cs="Calibri"/>
          <w:sz w:val="22"/>
          <w:szCs w:val="22"/>
        </w:rPr>
        <w:t xml:space="preserve">; </w:t>
      </w:r>
      <w:r w:rsidR="005F3780" w:rsidRPr="006111EB">
        <w:rPr>
          <w:rFonts w:ascii="Calibri" w:hAnsi="Calibri" w:cs="Calibri"/>
          <w:sz w:val="22"/>
          <w:szCs w:val="22"/>
          <w:vertAlign w:val="superscript"/>
        </w:rPr>
        <w:t>4</w:t>
      </w:r>
      <w:r w:rsidR="005F3780" w:rsidRPr="006111EB">
        <w:rPr>
          <w:rFonts w:ascii="Calibri" w:hAnsi="Calibri" w:cs="Calibri"/>
          <w:sz w:val="22"/>
          <w:szCs w:val="22"/>
        </w:rPr>
        <w:t>Department of Biomedical Informatics, Columbia University, New York, New York, United States of America;</w:t>
      </w:r>
      <w:r w:rsidR="00591E81" w:rsidRPr="006111EB">
        <w:rPr>
          <w:rFonts w:ascii="Calibri" w:hAnsi="Calibri" w:cs="Calibri"/>
          <w:sz w:val="22"/>
          <w:szCs w:val="22"/>
        </w:rPr>
        <w:t xml:space="preserve"> </w:t>
      </w:r>
      <w:r w:rsidR="00591E81" w:rsidRPr="006111EB">
        <w:rPr>
          <w:rFonts w:ascii="Calibri" w:hAnsi="Calibri" w:cs="Calibri"/>
          <w:sz w:val="22"/>
          <w:szCs w:val="22"/>
          <w:vertAlign w:val="superscript"/>
        </w:rPr>
        <w:t>5</w:t>
      </w:r>
      <w:r w:rsidR="00A95BBC" w:rsidRPr="006111EB">
        <w:rPr>
          <w:rFonts w:ascii="Calibri" w:hAnsi="Calibri" w:cs="Calibri"/>
          <w:sz w:val="22"/>
          <w:szCs w:val="22"/>
        </w:rPr>
        <w:t xml:space="preserve">Equip </w:t>
      </w:r>
      <w:proofErr w:type="spellStart"/>
      <w:r w:rsidR="00A95BBC" w:rsidRPr="006111EB">
        <w:rPr>
          <w:rFonts w:ascii="Calibri" w:hAnsi="Calibri" w:cs="Calibri"/>
          <w:sz w:val="22"/>
          <w:szCs w:val="22"/>
        </w:rPr>
        <w:t>d'Atenció</w:t>
      </w:r>
      <w:proofErr w:type="spellEnd"/>
      <w:r w:rsidR="00A95BBC" w:rsidRPr="006111EB">
        <w:rPr>
          <w:rFonts w:ascii="Calibri" w:hAnsi="Calibri" w:cs="Calibri"/>
          <w:sz w:val="22"/>
          <w:szCs w:val="22"/>
        </w:rPr>
        <w:t xml:space="preserve"> </w:t>
      </w:r>
      <w:proofErr w:type="spellStart"/>
      <w:r w:rsidR="00A95BBC" w:rsidRPr="006111EB">
        <w:rPr>
          <w:rFonts w:ascii="Calibri" w:hAnsi="Calibri" w:cs="Calibri"/>
          <w:sz w:val="22"/>
          <w:szCs w:val="22"/>
        </w:rPr>
        <w:t>Primària</w:t>
      </w:r>
      <w:proofErr w:type="spellEnd"/>
      <w:r w:rsidR="002A6160" w:rsidRPr="006111EB">
        <w:rPr>
          <w:rFonts w:ascii="Calibri" w:hAnsi="Calibri" w:cs="Calibri"/>
          <w:sz w:val="22"/>
          <w:szCs w:val="22"/>
        </w:rPr>
        <w:t xml:space="preserve"> </w:t>
      </w:r>
      <w:proofErr w:type="spellStart"/>
      <w:r w:rsidR="005C6B6C" w:rsidRPr="006111EB">
        <w:rPr>
          <w:rFonts w:ascii="Calibri" w:hAnsi="Calibri" w:cs="Calibri"/>
          <w:sz w:val="22"/>
          <w:szCs w:val="22"/>
        </w:rPr>
        <w:t>Gòtic</w:t>
      </w:r>
      <w:proofErr w:type="spellEnd"/>
      <w:r w:rsidR="002A6160" w:rsidRPr="006111EB">
        <w:rPr>
          <w:rFonts w:ascii="Calibri" w:hAnsi="Calibri" w:cs="Calibri"/>
          <w:sz w:val="22"/>
          <w:szCs w:val="22"/>
        </w:rPr>
        <w:t xml:space="preserve">, </w:t>
      </w:r>
      <w:proofErr w:type="spellStart"/>
      <w:r w:rsidR="00961D5D" w:rsidRPr="006111EB">
        <w:rPr>
          <w:rFonts w:ascii="Calibri" w:hAnsi="Calibri" w:cs="Calibri"/>
          <w:sz w:val="22"/>
          <w:szCs w:val="22"/>
        </w:rPr>
        <w:t>Institut</w:t>
      </w:r>
      <w:proofErr w:type="spellEnd"/>
      <w:r w:rsidR="00961D5D" w:rsidRPr="006111EB">
        <w:rPr>
          <w:rFonts w:ascii="Calibri" w:hAnsi="Calibri" w:cs="Calibri"/>
          <w:sz w:val="22"/>
          <w:szCs w:val="22"/>
        </w:rPr>
        <w:t xml:space="preserve"> </w:t>
      </w:r>
      <w:proofErr w:type="spellStart"/>
      <w:r w:rsidR="00961D5D" w:rsidRPr="006111EB">
        <w:rPr>
          <w:rFonts w:ascii="Calibri" w:hAnsi="Calibri" w:cs="Calibri"/>
          <w:sz w:val="22"/>
          <w:szCs w:val="22"/>
        </w:rPr>
        <w:t>Català</w:t>
      </w:r>
      <w:proofErr w:type="spellEnd"/>
      <w:r w:rsidR="00961D5D" w:rsidRPr="006111EB">
        <w:rPr>
          <w:rFonts w:ascii="Calibri" w:hAnsi="Calibri" w:cs="Calibri"/>
          <w:sz w:val="22"/>
          <w:szCs w:val="22"/>
        </w:rPr>
        <w:t xml:space="preserve"> de la Salut</w:t>
      </w:r>
      <w:r w:rsidR="002A6160" w:rsidRPr="006111EB">
        <w:rPr>
          <w:rFonts w:ascii="Calibri" w:hAnsi="Calibri" w:cs="Calibri"/>
          <w:sz w:val="22"/>
          <w:szCs w:val="22"/>
        </w:rPr>
        <w:t xml:space="preserve">, Barcelona, Spain; </w:t>
      </w:r>
      <w:r w:rsidR="006A5160" w:rsidRPr="006111EB">
        <w:rPr>
          <w:rFonts w:ascii="Calibri" w:hAnsi="Calibri" w:cs="Calibri"/>
          <w:sz w:val="22"/>
          <w:szCs w:val="22"/>
          <w:vertAlign w:val="superscript"/>
        </w:rPr>
        <w:t>6</w:t>
      </w:r>
      <w:r w:rsidR="008D46A0" w:rsidRPr="006111EB">
        <w:rPr>
          <w:rFonts w:ascii="Calibri" w:hAnsi="Calibri" w:cs="Calibri"/>
          <w:sz w:val="22"/>
          <w:szCs w:val="22"/>
        </w:rPr>
        <w:t>Department of Cardiology, Cardiovascular Center, Korea University College of Medicine, Korea</w:t>
      </w:r>
      <w:r w:rsidR="00623BBB" w:rsidRPr="006111EB">
        <w:rPr>
          <w:rFonts w:ascii="Calibri" w:hAnsi="Calibri" w:cs="Calibri"/>
          <w:sz w:val="22"/>
          <w:szCs w:val="22"/>
        </w:rPr>
        <w:t>;</w:t>
      </w:r>
      <w:r w:rsidR="00D507C5" w:rsidRPr="006111EB">
        <w:rPr>
          <w:rFonts w:ascii="Calibri" w:hAnsi="Calibri" w:cs="Calibri"/>
          <w:sz w:val="22"/>
          <w:szCs w:val="22"/>
        </w:rPr>
        <w:t xml:space="preserve"> </w:t>
      </w:r>
      <w:r w:rsidR="006A5160" w:rsidRPr="006111EB">
        <w:rPr>
          <w:rFonts w:ascii="Calibri" w:hAnsi="Calibri" w:cs="Calibri"/>
          <w:sz w:val="22"/>
          <w:szCs w:val="22"/>
          <w:vertAlign w:val="superscript"/>
        </w:rPr>
        <w:t>7</w:t>
      </w:r>
      <w:r w:rsidR="00CB281A">
        <w:rPr>
          <w:rFonts w:ascii="Calibri" w:hAnsi="Calibri" w:cs="Calibri"/>
          <w:sz w:val="22"/>
          <w:szCs w:val="22"/>
        </w:rPr>
        <w:t xml:space="preserve">Pharmaco-and Device Epidemiology, Centre for Statistics in Medicine - Nuffield Department of </w:t>
      </w:r>
      <w:proofErr w:type="spellStart"/>
      <w:r w:rsidR="00CB281A">
        <w:rPr>
          <w:rFonts w:ascii="Calibri" w:hAnsi="Calibri" w:cs="Calibri"/>
          <w:sz w:val="22"/>
          <w:szCs w:val="22"/>
        </w:rPr>
        <w:t>Orthopaedics</w:t>
      </w:r>
      <w:proofErr w:type="spellEnd"/>
      <w:r w:rsidR="00CB281A">
        <w:rPr>
          <w:rFonts w:ascii="Calibri" w:hAnsi="Calibri" w:cs="Calibri"/>
          <w:sz w:val="22"/>
          <w:szCs w:val="22"/>
        </w:rPr>
        <w:t>, Rheumatology, and Musculoskeletal Sciences, University of Oxford, UK</w:t>
      </w:r>
      <w:r w:rsidR="007D4536" w:rsidRPr="006111EB">
        <w:rPr>
          <w:rFonts w:ascii="Calibri" w:hAnsi="Calibri" w:cs="Calibri"/>
          <w:sz w:val="22"/>
          <w:szCs w:val="22"/>
        </w:rPr>
        <w:t>;</w:t>
      </w:r>
      <w:r w:rsidR="00D507C5" w:rsidRPr="006111EB">
        <w:rPr>
          <w:rFonts w:ascii="Calibri" w:hAnsi="Calibri" w:cs="Calibri"/>
          <w:sz w:val="22"/>
          <w:szCs w:val="22"/>
          <w:vertAlign w:val="superscript"/>
        </w:rPr>
        <w:t>8</w:t>
      </w:r>
      <w:r w:rsidR="00B460F6" w:rsidRPr="006111EB">
        <w:rPr>
          <w:rFonts w:ascii="Calibri" w:hAnsi="Calibri" w:cs="Calibri"/>
          <w:sz w:val="22"/>
          <w:szCs w:val="22"/>
        </w:rPr>
        <w:t xml:space="preserve">Department of Internal Medicine, </w:t>
      </w:r>
      <w:proofErr w:type="spellStart"/>
      <w:r w:rsidR="00B460F6" w:rsidRPr="006111EB">
        <w:rPr>
          <w:rFonts w:ascii="Calibri" w:hAnsi="Calibri" w:cs="Calibri"/>
          <w:sz w:val="22"/>
          <w:szCs w:val="22"/>
        </w:rPr>
        <w:t>Hanyang</w:t>
      </w:r>
      <w:proofErr w:type="spellEnd"/>
      <w:r w:rsidR="00B460F6" w:rsidRPr="006111EB">
        <w:rPr>
          <w:rFonts w:ascii="Calibri" w:hAnsi="Calibri" w:cs="Calibri"/>
          <w:sz w:val="22"/>
          <w:szCs w:val="22"/>
        </w:rPr>
        <w:t xml:space="preserve"> University </w:t>
      </w:r>
      <w:proofErr w:type="spellStart"/>
      <w:r w:rsidR="00B460F6" w:rsidRPr="006111EB">
        <w:rPr>
          <w:rFonts w:ascii="Calibri" w:hAnsi="Calibri" w:cs="Calibri"/>
          <w:sz w:val="22"/>
          <w:szCs w:val="22"/>
        </w:rPr>
        <w:t>Guri</w:t>
      </w:r>
      <w:proofErr w:type="spellEnd"/>
      <w:r w:rsidR="00B460F6" w:rsidRPr="006111EB">
        <w:rPr>
          <w:rFonts w:ascii="Calibri" w:hAnsi="Calibri" w:cs="Calibri"/>
          <w:sz w:val="22"/>
          <w:szCs w:val="22"/>
        </w:rPr>
        <w:t xml:space="preserve"> Hospital, </w:t>
      </w:r>
      <w:proofErr w:type="spellStart"/>
      <w:r w:rsidR="00B460F6" w:rsidRPr="006111EB">
        <w:rPr>
          <w:rFonts w:ascii="Calibri" w:hAnsi="Calibri" w:cs="Calibri"/>
          <w:sz w:val="22"/>
          <w:szCs w:val="22"/>
        </w:rPr>
        <w:t>Hanyang</w:t>
      </w:r>
      <w:proofErr w:type="spellEnd"/>
      <w:r w:rsidR="00B460F6" w:rsidRPr="006111EB">
        <w:rPr>
          <w:rFonts w:ascii="Calibri" w:hAnsi="Calibri" w:cs="Calibri"/>
          <w:sz w:val="22"/>
          <w:szCs w:val="22"/>
        </w:rPr>
        <w:t xml:space="preserve"> University College of Medicine, </w:t>
      </w:r>
      <w:proofErr w:type="spellStart"/>
      <w:r w:rsidR="00B460F6" w:rsidRPr="006111EB">
        <w:rPr>
          <w:rFonts w:ascii="Calibri" w:hAnsi="Calibri" w:cs="Calibri"/>
          <w:sz w:val="22"/>
          <w:szCs w:val="22"/>
        </w:rPr>
        <w:t>Guri</w:t>
      </w:r>
      <w:proofErr w:type="spellEnd"/>
      <w:r w:rsidR="00B460F6" w:rsidRPr="006111EB">
        <w:rPr>
          <w:rFonts w:ascii="Calibri" w:hAnsi="Calibri" w:cs="Calibri"/>
          <w:sz w:val="22"/>
          <w:szCs w:val="22"/>
        </w:rPr>
        <w:t>, Korea;</w:t>
      </w:r>
      <w:r w:rsidRPr="006111EB">
        <w:rPr>
          <w:rFonts w:ascii="Calibri" w:hAnsi="Calibri" w:cs="Calibri"/>
          <w:sz w:val="22"/>
          <w:szCs w:val="22"/>
        </w:rPr>
        <w:t xml:space="preserve"> </w:t>
      </w:r>
      <w:r w:rsidR="00CB281A">
        <w:rPr>
          <w:rFonts w:ascii="Calibri" w:hAnsi="Calibri" w:cs="Calibri"/>
          <w:sz w:val="22"/>
          <w:szCs w:val="22"/>
          <w:vertAlign w:val="superscript"/>
        </w:rPr>
        <w:t>9</w:t>
      </w:r>
      <w:r w:rsidR="00B460F6" w:rsidRPr="006111EB">
        <w:rPr>
          <w:rFonts w:ascii="Calibri" w:hAnsi="Calibri" w:cs="Calibri"/>
          <w:sz w:val="22"/>
          <w:szCs w:val="22"/>
        </w:rPr>
        <w:t xml:space="preserve">Department of Biomedical Sciences, </w:t>
      </w:r>
      <w:proofErr w:type="spellStart"/>
      <w:r w:rsidR="00B460F6" w:rsidRPr="006111EB">
        <w:rPr>
          <w:rFonts w:ascii="Calibri" w:hAnsi="Calibri" w:cs="Calibri"/>
          <w:sz w:val="22"/>
          <w:szCs w:val="22"/>
        </w:rPr>
        <w:t>Ajou</w:t>
      </w:r>
      <w:proofErr w:type="spellEnd"/>
      <w:r w:rsidR="00B460F6" w:rsidRPr="006111EB">
        <w:rPr>
          <w:rFonts w:ascii="Calibri" w:hAnsi="Calibri" w:cs="Calibri"/>
          <w:sz w:val="22"/>
          <w:szCs w:val="22"/>
        </w:rPr>
        <w:t xml:space="preserve"> University Graduate School of Medicine, Suwon, Korea</w:t>
      </w:r>
    </w:p>
    <w:p w14:paraId="08217216" w14:textId="77777777" w:rsidR="0035565E" w:rsidRPr="006111EB" w:rsidRDefault="0035565E" w:rsidP="00B460F6">
      <w:pPr>
        <w:pStyle w:val="AMIAAffiliations"/>
        <w:rPr>
          <w:rFonts w:ascii="Calibri" w:hAnsi="Calibri" w:cs="Calibri"/>
          <w:sz w:val="22"/>
          <w:szCs w:val="22"/>
        </w:rPr>
      </w:pPr>
    </w:p>
    <w:p w14:paraId="7BF86FE4" w14:textId="73AA75F1" w:rsidR="0035565E" w:rsidRPr="006111EB" w:rsidRDefault="0035565E" w:rsidP="00B460F6">
      <w:pPr>
        <w:pStyle w:val="AMIAAffiliations"/>
        <w:rPr>
          <w:rFonts w:ascii="Calibri" w:hAnsi="Calibri" w:cs="Calibri"/>
          <w:sz w:val="22"/>
          <w:szCs w:val="22"/>
        </w:rPr>
        <w:sectPr w:rsidR="0035565E" w:rsidRPr="006111EB" w:rsidSect="001D5D81">
          <w:footerReference w:type="even" r:id="rId8"/>
          <w:footerReference w:type="default" r:id="rId9"/>
          <w:type w:val="continuous"/>
          <w:pgSz w:w="12240" w:h="15840" w:code="1"/>
          <w:pgMar w:top="1440" w:right="1440" w:bottom="1440" w:left="1440" w:header="720" w:footer="720" w:gutter="0"/>
          <w:cols w:space="720"/>
        </w:sectPr>
      </w:pPr>
    </w:p>
    <w:p w14:paraId="0E04BA1A" w14:textId="641BBDFD" w:rsidR="00781CE1" w:rsidRPr="00353D58" w:rsidRDefault="00AC2719" w:rsidP="00353D58">
      <w:pPr>
        <w:pStyle w:val="AMIAHeading"/>
        <w:rPr>
          <w:rFonts w:ascii="Calibri" w:hAnsi="Calibri" w:cs="Calibri"/>
          <w:sz w:val="22"/>
          <w:szCs w:val="22"/>
        </w:rPr>
      </w:pPr>
      <w:r w:rsidRPr="006111EB">
        <w:rPr>
          <w:rFonts w:ascii="Calibri" w:hAnsi="Calibri" w:cs="Calibri"/>
          <w:sz w:val="22"/>
          <w:szCs w:val="22"/>
        </w:rPr>
        <w:br w:type="column"/>
      </w:r>
      <w:r w:rsidR="000876BD" w:rsidRPr="00353D58">
        <w:rPr>
          <w:rFonts w:ascii="Calibri" w:hAnsi="Calibri" w:cs="Calibri"/>
          <w:sz w:val="22"/>
          <w:szCs w:val="22"/>
        </w:rPr>
        <w:lastRenderedPageBreak/>
        <w:t>Abstract</w:t>
      </w:r>
    </w:p>
    <w:p w14:paraId="396FCDFA" w14:textId="248B67EE" w:rsidR="002C1EF6" w:rsidRPr="006111EB" w:rsidRDefault="00D2693D" w:rsidP="00940944">
      <w:pPr>
        <w:pStyle w:val="AMIAAbstract"/>
        <w:rPr>
          <w:rFonts w:ascii="Calibri" w:hAnsi="Calibri" w:cs="Calibri"/>
          <w:sz w:val="22"/>
          <w:szCs w:val="22"/>
        </w:rPr>
      </w:pPr>
      <w:r w:rsidRPr="006111EB">
        <w:rPr>
          <w:rFonts w:ascii="Calibri" w:hAnsi="Calibri" w:cs="Calibri"/>
          <w:sz w:val="22"/>
          <w:szCs w:val="22"/>
        </w:rPr>
        <w:t xml:space="preserve">In 2019, The US Food and Drug Administration (FDA) </w:t>
      </w:r>
      <w:r w:rsidR="00CE47ED" w:rsidRPr="006111EB">
        <w:rPr>
          <w:rFonts w:ascii="Calibri" w:hAnsi="Calibri" w:cs="Calibri"/>
          <w:sz w:val="22"/>
          <w:szCs w:val="22"/>
        </w:rPr>
        <w:t>found unacceptable levels of the probable carcinogen, N-</w:t>
      </w:r>
      <w:proofErr w:type="spellStart"/>
      <w:r w:rsidR="00CE47ED" w:rsidRPr="006111EB">
        <w:rPr>
          <w:rFonts w:ascii="Calibri" w:hAnsi="Calibri" w:cs="Calibri"/>
          <w:sz w:val="22"/>
          <w:szCs w:val="22"/>
        </w:rPr>
        <w:t>nitrosodimethylamine</w:t>
      </w:r>
      <w:proofErr w:type="spellEnd"/>
      <w:r w:rsidR="00452664" w:rsidRPr="006111EB">
        <w:rPr>
          <w:rFonts w:ascii="Calibri" w:hAnsi="Calibri" w:cs="Calibri"/>
          <w:sz w:val="22"/>
          <w:szCs w:val="22"/>
        </w:rPr>
        <w:t xml:space="preserve"> (NMDA)</w:t>
      </w:r>
      <w:r w:rsidR="00CE47ED" w:rsidRPr="006111EB">
        <w:rPr>
          <w:rFonts w:ascii="Calibri" w:hAnsi="Calibri" w:cs="Calibri"/>
          <w:sz w:val="22"/>
          <w:szCs w:val="22"/>
        </w:rPr>
        <w:t xml:space="preserve">, in </w:t>
      </w:r>
      <w:r w:rsidR="001E2268" w:rsidRPr="006111EB">
        <w:rPr>
          <w:rFonts w:ascii="Calibri" w:hAnsi="Calibri" w:cs="Calibri"/>
          <w:sz w:val="22"/>
          <w:szCs w:val="22"/>
        </w:rPr>
        <w:t xml:space="preserve">ranitidine, </w:t>
      </w:r>
      <w:r w:rsidR="00820B73" w:rsidRPr="006111EB">
        <w:rPr>
          <w:rFonts w:ascii="Calibri" w:hAnsi="Calibri" w:cs="Calibri"/>
          <w:sz w:val="22"/>
          <w:szCs w:val="22"/>
        </w:rPr>
        <w:t xml:space="preserve">the </w:t>
      </w:r>
      <w:r w:rsidR="001E2268" w:rsidRPr="006111EB">
        <w:rPr>
          <w:rFonts w:ascii="Calibri" w:hAnsi="Calibri" w:cs="Calibri"/>
          <w:sz w:val="22"/>
          <w:szCs w:val="22"/>
        </w:rPr>
        <w:t xml:space="preserve">most popular </w:t>
      </w:r>
      <w:r w:rsidR="00C919C5" w:rsidRPr="006111EB">
        <w:rPr>
          <w:rFonts w:ascii="Calibri" w:hAnsi="Calibri" w:cs="Calibri"/>
          <w:sz w:val="22"/>
          <w:szCs w:val="22"/>
        </w:rPr>
        <w:t>histamine-2</w:t>
      </w:r>
      <w:r w:rsidR="00820B73" w:rsidRPr="006111EB">
        <w:rPr>
          <w:rFonts w:ascii="Calibri" w:hAnsi="Calibri" w:cs="Calibri"/>
          <w:sz w:val="22"/>
          <w:szCs w:val="22"/>
        </w:rPr>
        <w:t xml:space="preserve"> </w:t>
      </w:r>
      <w:r w:rsidR="00C919C5" w:rsidRPr="006111EB">
        <w:rPr>
          <w:rFonts w:ascii="Calibri" w:hAnsi="Calibri" w:cs="Calibri"/>
          <w:sz w:val="22"/>
          <w:szCs w:val="22"/>
        </w:rPr>
        <w:t xml:space="preserve">receptor </w:t>
      </w:r>
      <w:r w:rsidR="001606F0" w:rsidRPr="006111EB">
        <w:rPr>
          <w:rFonts w:ascii="Calibri" w:hAnsi="Calibri" w:cs="Calibri"/>
          <w:sz w:val="22"/>
          <w:szCs w:val="22"/>
        </w:rPr>
        <w:t>antagonists (H2RA</w:t>
      </w:r>
      <w:r w:rsidR="001E2268" w:rsidRPr="006111EB">
        <w:rPr>
          <w:rFonts w:ascii="Calibri" w:hAnsi="Calibri" w:cs="Calibri"/>
          <w:sz w:val="22"/>
          <w:szCs w:val="22"/>
        </w:rPr>
        <w:t>)</w:t>
      </w:r>
      <w:r w:rsidR="00BD0C99" w:rsidRPr="006111EB">
        <w:rPr>
          <w:rFonts w:ascii="Calibri" w:hAnsi="Calibri" w:cs="Calibri"/>
          <w:sz w:val="22"/>
          <w:szCs w:val="22"/>
        </w:rPr>
        <w:t xml:space="preserve">. </w:t>
      </w:r>
      <w:r w:rsidR="00452664" w:rsidRPr="006111EB">
        <w:rPr>
          <w:rFonts w:ascii="Calibri" w:hAnsi="Calibri" w:cs="Calibri"/>
          <w:sz w:val="22"/>
          <w:szCs w:val="22"/>
        </w:rPr>
        <w:t>Although t</w:t>
      </w:r>
      <w:r w:rsidR="00361E2B" w:rsidRPr="006111EB">
        <w:rPr>
          <w:rFonts w:ascii="Calibri" w:hAnsi="Calibri" w:cs="Calibri"/>
          <w:sz w:val="22"/>
          <w:szCs w:val="22"/>
        </w:rPr>
        <w:t xml:space="preserve">he FDA </w:t>
      </w:r>
      <w:r w:rsidR="00452664" w:rsidRPr="006111EB">
        <w:rPr>
          <w:rFonts w:ascii="Calibri" w:hAnsi="Calibri" w:cs="Calibri"/>
          <w:sz w:val="22"/>
          <w:szCs w:val="22"/>
        </w:rPr>
        <w:t>determined ranitidine does not form NMDA in typical stomach condition</w:t>
      </w:r>
      <w:r w:rsidR="00502BF0" w:rsidRPr="006111EB">
        <w:rPr>
          <w:rFonts w:ascii="Calibri" w:hAnsi="Calibri" w:cs="Calibri"/>
          <w:sz w:val="22"/>
          <w:szCs w:val="22"/>
        </w:rPr>
        <w:t xml:space="preserve"> and the level of NMDA </w:t>
      </w:r>
      <w:r w:rsidR="005B3484" w:rsidRPr="006111EB">
        <w:rPr>
          <w:rFonts w:ascii="Calibri" w:hAnsi="Calibri" w:cs="Calibri"/>
          <w:sz w:val="22"/>
          <w:szCs w:val="22"/>
        </w:rPr>
        <w:t>in ranitidine</w:t>
      </w:r>
      <w:r w:rsidR="00607567" w:rsidRPr="006111EB">
        <w:rPr>
          <w:rFonts w:ascii="Calibri" w:hAnsi="Calibri" w:cs="Calibri"/>
          <w:sz w:val="22"/>
          <w:szCs w:val="22"/>
        </w:rPr>
        <w:t xml:space="preserve"> is still low</w:t>
      </w:r>
      <w:r w:rsidR="0087715E" w:rsidRPr="006111EB">
        <w:rPr>
          <w:rFonts w:ascii="Calibri" w:hAnsi="Calibri" w:cs="Calibri"/>
          <w:sz w:val="22"/>
          <w:szCs w:val="22"/>
        </w:rPr>
        <w:t xml:space="preserve"> in the test</w:t>
      </w:r>
      <w:r w:rsidR="00607567" w:rsidRPr="006111EB">
        <w:rPr>
          <w:rFonts w:ascii="Calibri" w:hAnsi="Calibri" w:cs="Calibri"/>
          <w:sz w:val="22"/>
          <w:szCs w:val="22"/>
        </w:rPr>
        <w:t xml:space="preserve">, </w:t>
      </w:r>
      <w:r w:rsidR="000F43C6" w:rsidRPr="006111EB">
        <w:rPr>
          <w:rFonts w:ascii="Calibri" w:hAnsi="Calibri" w:cs="Calibri"/>
          <w:sz w:val="22"/>
          <w:szCs w:val="22"/>
        </w:rPr>
        <w:t xml:space="preserve">the </w:t>
      </w:r>
      <w:r w:rsidR="00114354" w:rsidRPr="006111EB">
        <w:rPr>
          <w:rFonts w:ascii="Calibri" w:hAnsi="Calibri" w:cs="Calibri"/>
          <w:sz w:val="22"/>
          <w:szCs w:val="22"/>
        </w:rPr>
        <w:t>association between</w:t>
      </w:r>
      <w:r w:rsidR="00820B73" w:rsidRPr="006111EB">
        <w:rPr>
          <w:rFonts w:ascii="Calibri" w:hAnsi="Calibri" w:cs="Calibri"/>
          <w:sz w:val="22"/>
          <w:szCs w:val="22"/>
        </w:rPr>
        <w:t xml:space="preserve"> H2</w:t>
      </w:r>
      <w:r w:rsidR="00BC715B" w:rsidRPr="006111EB">
        <w:rPr>
          <w:rFonts w:ascii="Calibri" w:hAnsi="Calibri" w:cs="Calibri"/>
          <w:sz w:val="22"/>
          <w:szCs w:val="22"/>
        </w:rPr>
        <w:t>RAs</w:t>
      </w:r>
      <w:r w:rsidR="00820B73" w:rsidRPr="006111EB">
        <w:rPr>
          <w:rFonts w:ascii="Calibri" w:hAnsi="Calibri" w:cs="Calibri"/>
          <w:sz w:val="22"/>
          <w:szCs w:val="22"/>
        </w:rPr>
        <w:t xml:space="preserve"> and incidence of cancer </w:t>
      </w:r>
      <w:r w:rsidR="0087715E" w:rsidRPr="006111EB">
        <w:rPr>
          <w:rFonts w:ascii="Calibri" w:hAnsi="Calibri" w:cs="Calibri"/>
          <w:sz w:val="22"/>
          <w:szCs w:val="22"/>
        </w:rPr>
        <w:t>has not been evaluated in the real world. We aimed to compare the incidence of cancer</w:t>
      </w:r>
      <w:r w:rsidR="00E6503E" w:rsidRPr="006111EB">
        <w:rPr>
          <w:rFonts w:ascii="Calibri" w:hAnsi="Calibri" w:cs="Calibri"/>
          <w:sz w:val="22"/>
          <w:szCs w:val="22"/>
        </w:rPr>
        <w:t xml:space="preserve">s between </w:t>
      </w:r>
      <w:r w:rsidR="002425AD" w:rsidRPr="006111EB">
        <w:rPr>
          <w:rFonts w:ascii="Calibri" w:hAnsi="Calibri" w:cs="Calibri"/>
          <w:sz w:val="22"/>
          <w:szCs w:val="22"/>
        </w:rPr>
        <w:t xml:space="preserve">users of ranitidine and users of other </w:t>
      </w:r>
      <w:r w:rsidR="00B542DC" w:rsidRPr="006111EB">
        <w:rPr>
          <w:rFonts w:ascii="Calibri" w:hAnsi="Calibri" w:cs="Calibri"/>
          <w:sz w:val="22"/>
          <w:szCs w:val="22"/>
        </w:rPr>
        <w:t>H2RAs</w:t>
      </w:r>
      <w:r w:rsidR="004F5F17" w:rsidRPr="006111EB">
        <w:rPr>
          <w:rFonts w:ascii="Calibri" w:hAnsi="Calibri" w:cs="Calibri"/>
          <w:sz w:val="22"/>
          <w:szCs w:val="22"/>
        </w:rPr>
        <w:t>.</w:t>
      </w:r>
      <w:r w:rsidR="00136F07" w:rsidRPr="006111EB">
        <w:rPr>
          <w:rFonts w:ascii="Calibri" w:hAnsi="Calibri" w:cs="Calibri"/>
          <w:sz w:val="22"/>
          <w:szCs w:val="22"/>
        </w:rPr>
        <w:t xml:space="preserve"> Here, we showed the</w:t>
      </w:r>
      <w:r w:rsidR="008203DE" w:rsidRPr="006111EB">
        <w:rPr>
          <w:rFonts w:ascii="Calibri" w:hAnsi="Calibri" w:cs="Calibri"/>
          <w:sz w:val="22"/>
          <w:szCs w:val="22"/>
        </w:rPr>
        <w:t xml:space="preserve"> preliminary</w:t>
      </w:r>
      <w:r w:rsidR="00136F07" w:rsidRPr="006111EB">
        <w:rPr>
          <w:rFonts w:ascii="Calibri" w:hAnsi="Calibri" w:cs="Calibri"/>
          <w:sz w:val="22"/>
          <w:szCs w:val="22"/>
        </w:rPr>
        <w:t xml:space="preserve"> result of </w:t>
      </w:r>
      <w:r w:rsidR="00E274CD" w:rsidRPr="006111EB">
        <w:rPr>
          <w:rFonts w:ascii="Calibri" w:hAnsi="Calibri" w:cs="Calibri"/>
          <w:sz w:val="22"/>
          <w:szCs w:val="22"/>
        </w:rPr>
        <w:t>the</w:t>
      </w:r>
      <w:r w:rsidR="00136F07" w:rsidRPr="006111EB">
        <w:rPr>
          <w:rFonts w:ascii="Calibri" w:hAnsi="Calibri" w:cs="Calibri"/>
          <w:sz w:val="22"/>
          <w:szCs w:val="22"/>
        </w:rPr>
        <w:t xml:space="preserve"> study. </w:t>
      </w:r>
    </w:p>
    <w:p w14:paraId="74E04788" w14:textId="3C1AF3C8" w:rsidR="002C1EF6" w:rsidRDefault="002C1EF6" w:rsidP="00940944">
      <w:pPr>
        <w:pStyle w:val="AMIAAbstract"/>
        <w:rPr>
          <w:rFonts w:ascii="Calibri" w:hAnsi="Calibri" w:cs="Calibri"/>
          <w:sz w:val="22"/>
          <w:szCs w:val="22"/>
        </w:rPr>
      </w:pPr>
    </w:p>
    <w:p w14:paraId="6E29C989" w14:textId="77777777" w:rsidR="005D0881" w:rsidRDefault="005D0881" w:rsidP="005D0881">
      <w:pPr>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Research Category (please highlight or circle which category best describes your research)</w:t>
      </w:r>
    </w:p>
    <w:p w14:paraId="542575F8" w14:textId="77777777" w:rsidR="005D0881" w:rsidRDefault="005D0881" w:rsidP="005D0881">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sz w:val="22"/>
          <w:szCs w:val="22"/>
        </w:rPr>
        <w:t xml:space="preserve">Observational data management, clinical characterization, </w:t>
      </w:r>
      <w:r w:rsidRPr="005D0881">
        <w:rPr>
          <w:rFonts w:ascii="Calibri" w:eastAsia="Calibri" w:hAnsi="Calibri" w:cs="Calibri"/>
          <w:sz w:val="22"/>
          <w:szCs w:val="22"/>
          <w:highlight w:val="yellow"/>
        </w:rPr>
        <w:t>population-level estimation</w:t>
      </w:r>
      <w:r>
        <w:rPr>
          <w:rFonts w:ascii="Calibri" w:eastAsia="Calibri" w:hAnsi="Calibri" w:cs="Calibri"/>
          <w:sz w:val="22"/>
          <w:szCs w:val="22"/>
        </w:rPr>
        <w:t>, patient-level prediction, other (if other, please indicate)</w:t>
      </w:r>
    </w:p>
    <w:p w14:paraId="4EF159BD" w14:textId="77777777" w:rsidR="00353D58" w:rsidRPr="006111EB" w:rsidRDefault="00353D58" w:rsidP="00940944">
      <w:pPr>
        <w:pStyle w:val="AMIAAbstract"/>
        <w:rPr>
          <w:rFonts w:ascii="Calibri" w:hAnsi="Calibri" w:cs="Calibri"/>
          <w:sz w:val="22"/>
          <w:szCs w:val="22"/>
        </w:rPr>
      </w:pPr>
    </w:p>
    <w:p w14:paraId="2E39759A" w14:textId="77777777" w:rsidR="00781CE1" w:rsidRPr="006111EB" w:rsidRDefault="000876BD" w:rsidP="00940944">
      <w:pPr>
        <w:pStyle w:val="AMIAHeading"/>
        <w:rPr>
          <w:rFonts w:ascii="Calibri" w:hAnsi="Calibri" w:cs="Calibri"/>
          <w:sz w:val="22"/>
          <w:szCs w:val="22"/>
        </w:rPr>
      </w:pPr>
      <w:r w:rsidRPr="006111EB">
        <w:rPr>
          <w:rFonts w:ascii="Calibri" w:hAnsi="Calibri" w:cs="Calibri"/>
          <w:sz w:val="22"/>
          <w:szCs w:val="22"/>
        </w:rPr>
        <w:t>Introduction</w:t>
      </w:r>
    </w:p>
    <w:p w14:paraId="6E840370" w14:textId="5B26DDB5" w:rsidR="008443DC" w:rsidRPr="006111EB" w:rsidRDefault="008443DC" w:rsidP="008443DC">
      <w:pPr>
        <w:pStyle w:val="AMIABodyText"/>
        <w:rPr>
          <w:rFonts w:ascii="Calibri" w:hAnsi="Calibri" w:cs="Calibri"/>
          <w:sz w:val="22"/>
          <w:szCs w:val="22"/>
        </w:rPr>
      </w:pPr>
      <w:r w:rsidRPr="006111EB">
        <w:rPr>
          <w:rFonts w:ascii="Calibri" w:hAnsi="Calibri" w:cs="Calibri"/>
          <w:sz w:val="22"/>
          <w:szCs w:val="22"/>
        </w:rPr>
        <w:t xml:space="preserve">Ranitidine is a histamine H2-receptor antagonist (H2RAs) commonly have been used to treat gastroesophageal reflux disease and peptic ulcer disease and it was top </w:t>
      </w:r>
      <w:proofErr w:type="gramStart"/>
      <w:r w:rsidRPr="006111EB">
        <w:rPr>
          <w:rFonts w:ascii="Calibri" w:hAnsi="Calibri" w:cs="Calibri"/>
          <w:sz w:val="22"/>
          <w:szCs w:val="22"/>
        </w:rPr>
        <w:t>over-the-counter</w:t>
      </w:r>
      <w:proofErr w:type="gramEnd"/>
      <w:r w:rsidRPr="006111EB">
        <w:rPr>
          <w:rFonts w:ascii="Calibri" w:hAnsi="Calibri" w:cs="Calibri"/>
          <w:sz w:val="22"/>
          <w:szCs w:val="22"/>
        </w:rPr>
        <w:t xml:space="preserve"> H2RA brand in the USA in 2013. Recent study confirmed that oral intake of ranitidine increases urinary excretion of N-</w:t>
      </w:r>
      <w:proofErr w:type="spellStart"/>
      <w:r w:rsidRPr="006111EB">
        <w:rPr>
          <w:rFonts w:ascii="Calibri" w:hAnsi="Calibri" w:cs="Calibri"/>
          <w:sz w:val="22"/>
          <w:szCs w:val="22"/>
        </w:rPr>
        <w:t>nitrosodimethylamine</w:t>
      </w:r>
      <w:proofErr w:type="spellEnd"/>
      <w:r w:rsidRPr="006111EB">
        <w:rPr>
          <w:rFonts w:ascii="Calibri" w:hAnsi="Calibri" w:cs="Calibri"/>
          <w:sz w:val="22"/>
          <w:szCs w:val="22"/>
        </w:rPr>
        <w:t xml:space="preserve"> (NDMA) by </w:t>
      </w:r>
      <w:proofErr w:type="spellStart"/>
      <w:r w:rsidRPr="006111EB">
        <w:rPr>
          <w:rFonts w:ascii="Calibri" w:hAnsi="Calibri" w:cs="Calibri"/>
          <w:sz w:val="22"/>
          <w:szCs w:val="22"/>
        </w:rPr>
        <w:t>nitrosation</w:t>
      </w:r>
      <w:proofErr w:type="spellEnd"/>
      <w:r w:rsidRPr="006111EB">
        <w:rPr>
          <w:rFonts w:ascii="Calibri" w:hAnsi="Calibri" w:cs="Calibri"/>
          <w:sz w:val="22"/>
          <w:szCs w:val="22"/>
        </w:rPr>
        <w:t xml:space="preserve"> of ranitidine under stomach-relevant pH conditions in vitro, and the potential cancer risk from ranitidine was suggested.</w:t>
      </w:r>
      <w:r w:rsidR="003C680D" w:rsidRPr="006111EB">
        <w:rPr>
          <w:rFonts w:ascii="Calibri" w:hAnsi="Calibri" w:cs="Calibri"/>
          <w:sz w:val="22"/>
          <w:szCs w:val="22"/>
          <w:vertAlign w:val="superscript"/>
        </w:rPr>
        <w:t>1</w:t>
      </w:r>
      <w:r w:rsidRPr="006111EB">
        <w:rPr>
          <w:rFonts w:ascii="Calibri" w:hAnsi="Calibri" w:cs="Calibri"/>
          <w:sz w:val="22"/>
          <w:szCs w:val="22"/>
        </w:rPr>
        <w:t xml:space="preserve"> </w:t>
      </w:r>
    </w:p>
    <w:p w14:paraId="5984E283" w14:textId="326FCF06" w:rsidR="008443DC" w:rsidRPr="006111EB" w:rsidRDefault="008443DC" w:rsidP="008443DC">
      <w:pPr>
        <w:pStyle w:val="AMIABodyText"/>
        <w:rPr>
          <w:rFonts w:ascii="Calibri" w:hAnsi="Calibri" w:cs="Calibri"/>
          <w:sz w:val="22"/>
          <w:szCs w:val="22"/>
        </w:rPr>
      </w:pPr>
      <w:r w:rsidRPr="006111EB">
        <w:rPr>
          <w:rFonts w:ascii="Calibri" w:hAnsi="Calibri" w:cs="Calibri"/>
          <w:sz w:val="22"/>
          <w:szCs w:val="22"/>
        </w:rPr>
        <w:t>In 2019, The US Food and Drug Administration (FDA) has asked doctors and patients to withdraw all ranitidine products from the market as of September 2019, after low levels of the probable human carcinogen NDMA were detected.</w:t>
      </w:r>
      <w:r w:rsidR="003C680D" w:rsidRPr="006111EB">
        <w:rPr>
          <w:rFonts w:ascii="Calibri" w:hAnsi="Calibri" w:cs="Calibri"/>
          <w:sz w:val="22"/>
          <w:szCs w:val="22"/>
          <w:vertAlign w:val="superscript"/>
        </w:rPr>
        <w:t>2</w:t>
      </w:r>
      <w:r w:rsidRPr="006111EB">
        <w:rPr>
          <w:rFonts w:ascii="Calibri" w:hAnsi="Calibri" w:cs="Calibri"/>
          <w:sz w:val="22"/>
          <w:szCs w:val="22"/>
        </w:rPr>
        <w:t xml:space="preserve"> NDMA is known as one of the most potent animal carcinogens and has been shown to be a potent carcinogen across all species that have been investigated.</w:t>
      </w:r>
      <w:r w:rsidR="003C680D" w:rsidRPr="006111EB">
        <w:rPr>
          <w:rFonts w:ascii="Calibri" w:hAnsi="Calibri" w:cs="Calibri"/>
          <w:sz w:val="22"/>
          <w:szCs w:val="22"/>
          <w:vertAlign w:val="superscript"/>
        </w:rPr>
        <w:t>3-7</w:t>
      </w:r>
      <w:r w:rsidRPr="006111EB">
        <w:rPr>
          <w:rFonts w:ascii="Calibri" w:hAnsi="Calibri" w:cs="Calibri"/>
          <w:sz w:val="22"/>
          <w:szCs w:val="22"/>
        </w:rPr>
        <w:t xml:space="preserve"> Hence, the International Agency for Research on Cancer has classified NDMA as “probably carcinogenic to humans” (group 2A). </w:t>
      </w:r>
    </w:p>
    <w:p w14:paraId="29CB839B" w14:textId="123816ED" w:rsidR="008443DC" w:rsidRPr="006111EB" w:rsidRDefault="00325BDA" w:rsidP="008443DC">
      <w:pPr>
        <w:pStyle w:val="AMIABodyText"/>
        <w:rPr>
          <w:rFonts w:ascii="Calibri" w:hAnsi="Calibri" w:cs="Calibri"/>
          <w:sz w:val="22"/>
          <w:szCs w:val="22"/>
        </w:rPr>
      </w:pPr>
      <w:r w:rsidRPr="006111EB">
        <w:rPr>
          <w:rFonts w:ascii="Calibri" w:hAnsi="Calibri" w:cs="Calibri"/>
          <w:sz w:val="22"/>
          <w:szCs w:val="22"/>
        </w:rPr>
        <w:t xml:space="preserve">Even though </w:t>
      </w:r>
      <w:r w:rsidR="008443DC" w:rsidRPr="006111EB">
        <w:rPr>
          <w:rFonts w:ascii="Calibri" w:hAnsi="Calibri" w:cs="Calibri"/>
          <w:sz w:val="22"/>
          <w:szCs w:val="22"/>
        </w:rPr>
        <w:t>there have been several studies regarding association between NDMA exposure and risk of cancer,</w:t>
      </w:r>
      <w:r w:rsidR="003C71F7" w:rsidRPr="006111EB">
        <w:rPr>
          <w:rFonts w:ascii="Calibri" w:hAnsi="Calibri" w:cs="Calibri"/>
          <w:sz w:val="22"/>
          <w:szCs w:val="22"/>
          <w:vertAlign w:val="superscript"/>
        </w:rPr>
        <w:t>5, 8-12</w:t>
      </w:r>
      <w:r w:rsidR="008443DC" w:rsidRPr="006111EB">
        <w:rPr>
          <w:rFonts w:ascii="Calibri" w:hAnsi="Calibri" w:cs="Calibri"/>
          <w:sz w:val="22"/>
          <w:szCs w:val="22"/>
        </w:rPr>
        <w:t xml:space="preserve"> real-world evidence of cancer risk in relation with ranitidine is scarce. Recent Danish nationwide cohort study </w:t>
      </w:r>
      <w:r w:rsidR="008508AC" w:rsidRPr="006111EB">
        <w:rPr>
          <w:rFonts w:ascii="Calibri" w:hAnsi="Calibri" w:cs="Calibri"/>
          <w:sz w:val="22"/>
          <w:szCs w:val="22"/>
        </w:rPr>
        <w:t xml:space="preserve">found that </w:t>
      </w:r>
      <w:r w:rsidR="008443DC" w:rsidRPr="006111EB">
        <w:rPr>
          <w:rFonts w:ascii="Calibri" w:hAnsi="Calibri" w:cs="Calibri"/>
          <w:sz w:val="22"/>
          <w:szCs w:val="22"/>
        </w:rPr>
        <w:t>NDMA exposure in contaminated valsartan</w:t>
      </w:r>
      <w:r w:rsidR="008508AC" w:rsidRPr="006111EB">
        <w:rPr>
          <w:rFonts w:ascii="Calibri" w:hAnsi="Calibri" w:cs="Calibri"/>
          <w:sz w:val="22"/>
          <w:szCs w:val="22"/>
        </w:rPr>
        <w:t xml:space="preserve"> was not associated with increased risk</w:t>
      </w:r>
      <w:r w:rsidR="008443DC" w:rsidRPr="006111EB">
        <w:rPr>
          <w:rFonts w:ascii="Calibri" w:hAnsi="Calibri" w:cs="Calibri"/>
          <w:sz w:val="22"/>
          <w:szCs w:val="22"/>
        </w:rPr>
        <w:t xml:space="preserve"> of cancer.</w:t>
      </w:r>
      <w:r w:rsidR="00074BB9" w:rsidRPr="006111EB">
        <w:rPr>
          <w:rFonts w:ascii="Calibri" w:hAnsi="Calibri" w:cs="Calibri"/>
          <w:sz w:val="22"/>
          <w:szCs w:val="22"/>
          <w:vertAlign w:val="superscript"/>
        </w:rPr>
        <w:t>5</w:t>
      </w:r>
      <w:r w:rsidR="008443DC" w:rsidRPr="006111EB">
        <w:rPr>
          <w:rFonts w:ascii="Calibri" w:hAnsi="Calibri" w:cs="Calibri"/>
          <w:sz w:val="22"/>
          <w:szCs w:val="22"/>
        </w:rPr>
        <w:t xml:space="preserve"> It means that the real-world evidence could be uncertain. Thus, this multinational large-cohort study aimed to identify whether ranitidine has higher cancer risk compared with other H2RAs.</w:t>
      </w:r>
    </w:p>
    <w:p w14:paraId="31151D64" w14:textId="612121B1" w:rsidR="00B460F6" w:rsidRPr="006111EB" w:rsidRDefault="00B460F6" w:rsidP="00B460F6">
      <w:pPr>
        <w:pStyle w:val="AMIAHeading"/>
        <w:rPr>
          <w:rFonts w:ascii="Calibri" w:hAnsi="Calibri" w:cs="Calibri"/>
          <w:sz w:val="22"/>
          <w:szCs w:val="22"/>
        </w:rPr>
      </w:pPr>
      <w:r w:rsidRPr="006111EB">
        <w:rPr>
          <w:rFonts w:ascii="Calibri" w:hAnsi="Calibri" w:cs="Calibri"/>
          <w:sz w:val="22"/>
          <w:szCs w:val="22"/>
        </w:rPr>
        <w:t>Methods</w:t>
      </w:r>
    </w:p>
    <w:p w14:paraId="6755AD1D" w14:textId="77777777" w:rsidR="001E3AA9" w:rsidRPr="006111EB" w:rsidRDefault="00540648" w:rsidP="001E3AA9">
      <w:pPr>
        <w:pStyle w:val="AMIABodyText"/>
        <w:rPr>
          <w:rFonts w:ascii="Calibri" w:hAnsi="Calibri" w:cs="Calibri"/>
          <w:sz w:val="22"/>
          <w:szCs w:val="22"/>
          <w:lang w:eastAsia="ko-KR"/>
        </w:rPr>
      </w:pPr>
      <w:r w:rsidRPr="006111EB">
        <w:rPr>
          <w:rFonts w:ascii="Calibri" w:hAnsi="Calibri" w:cs="Calibri"/>
          <w:sz w:val="22"/>
          <w:szCs w:val="22"/>
          <w:lang w:eastAsia="ko-KR"/>
        </w:rPr>
        <w:t>This study is</w:t>
      </w:r>
      <w:r w:rsidR="00935743" w:rsidRPr="006111EB">
        <w:rPr>
          <w:rFonts w:ascii="Calibri" w:hAnsi="Calibri" w:cs="Calibri"/>
          <w:sz w:val="22"/>
          <w:szCs w:val="22"/>
          <w:lang w:eastAsia="ko-KR"/>
        </w:rPr>
        <w:t xml:space="preserve"> a</w:t>
      </w:r>
      <w:r w:rsidR="008337E1" w:rsidRPr="006111EB">
        <w:rPr>
          <w:rFonts w:ascii="Calibri" w:hAnsi="Calibri" w:cs="Calibri"/>
          <w:sz w:val="22"/>
          <w:szCs w:val="22"/>
          <w:lang w:eastAsia="ko-KR"/>
        </w:rPr>
        <w:t>n</w:t>
      </w:r>
      <w:r w:rsidR="00935743" w:rsidRPr="006111EB">
        <w:rPr>
          <w:rFonts w:ascii="Calibri" w:hAnsi="Calibri" w:cs="Calibri"/>
          <w:sz w:val="22"/>
          <w:szCs w:val="22"/>
          <w:lang w:eastAsia="ko-KR"/>
        </w:rPr>
        <w:t xml:space="preserve"> </w:t>
      </w:r>
      <w:r w:rsidR="00C44DA8" w:rsidRPr="006111EB">
        <w:rPr>
          <w:rFonts w:ascii="Calibri" w:hAnsi="Calibri" w:cs="Calibri"/>
          <w:sz w:val="22"/>
          <w:szCs w:val="22"/>
          <w:lang w:eastAsia="ko-KR"/>
        </w:rPr>
        <w:t>o</w:t>
      </w:r>
      <w:r w:rsidR="00935743" w:rsidRPr="006111EB">
        <w:rPr>
          <w:rFonts w:ascii="Calibri" w:hAnsi="Calibri" w:cs="Calibri"/>
          <w:sz w:val="22"/>
          <w:szCs w:val="22"/>
          <w:lang w:eastAsia="ko-KR"/>
        </w:rPr>
        <w:t>bservational</w:t>
      </w:r>
      <w:r w:rsidR="00A10A3C" w:rsidRPr="006111EB">
        <w:rPr>
          <w:rFonts w:ascii="Calibri" w:hAnsi="Calibri" w:cs="Calibri"/>
          <w:sz w:val="22"/>
          <w:szCs w:val="22"/>
          <w:lang w:eastAsia="ko-KR"/>
        </w:rPr>
        <w:t>,</w:t>
      </w:r>
      <w:r w:rsidR="00935743" w:rsidRPr="006111EB">
        <w:rPr>
          <w:rFonts w:ascii="Calibri" w:hAnsi="Calibri" w:cs="Calibri"/>
          <w:sz w:val="22"/>
          <w:szCs w:val="22"/>
          <w:lang w:eastAsia="ko-KR"/>
        </w:rPr>
        <w:t xml:space="preserve"> </w:t>
      </w:r>
      <w:r w:rsidR="00C44DA8" w:rsidRPr="006111EB">
        <w:rPr>
          <w:rFonts w:ascii="Calibri" w:hAnsi="Calibri" w:cs="Calibri"/>
          <w:sz w:val="22"/>
          <w:szCs w:val="22"/>
          <w:lang w:eastAsia="ko-KR"/>
        </w:rPr>
        <w:t xml:space="preserve">comparative </w:t>
      </w:r>
      <w:r w:rsidR="00935743" w:rsidRPr="006111EB">
        <w:rPr>
          <w:rFonts w:ascii="Calibri" w:hAnsi="Calibri" w:cs="Calibri"/>
          <w:sz w:val="22"/>
          <w:szCs w:val="22"/>
          <w:lang w:eastAsia="ko-KR"/>
        </w:rPr>
        <w:t xml:space="preserve">cohort study based on </w:t>
      </w:r>
      <w:r w:rsidR="000A7A16" w:rsidRPr="006111EB">
        <w:rPr>
          <w:rFonts w:ascii="Calibri" w:hAnsi="Calibri" w:cs="Calibri"/>
          <w:sz w:val="22"/>
          <w:szCs w:val="22"/>
          <w:lang w:eastAsia="ko-KR"/>
        </w:rPr>
        <w:t xml:space="preserve">the Observational Medical Outcome Partnership (OMOP) </w:t>
      </w:r>
      <w:r w:rsidR="00070872" w:rsidRPr="006111EB">
        <w:rPr>
          <w:rFonts w:ascii="Calibri" w:hAnsi="Calibri" w:cs="Calibri"/>
          <w:sz w:val="22"/>
          <w:szCs w:val="22"/>
          <w:lang w:eastAsia="ko-KR"/>
        </w:rPr>
        <w:t xml:space="preserve">Common Data Model (CDM). </w:t>
      </w:r>
      <w:r w:rsidR="00C928A1" w:rsidRPr="006111EB">
        <w:rPr>
          <w:rFonts w:ascii="Calibri" w:hAnsi="Calibri" w:cs="Calibri"/>
          <w:sz w:val="22"/>
          <w:szCs w:val="22"/>
          <w:lang w:eastAsia="ko-KR"/>
        </w:rPr>
        <w:t xml:space="preserve">We </w:t>
      </w:r>
      <w:r w:rsidR="005E7B0D" w:rsidRPr="006111EB">
        <w:rPr>
          <w:rFonts w:ascii="Calibri" w:hAnsi="Calibri" w:cs="Calibri"/>
          <w:sz w:val="22"/>
          <w:szCs w:val="22"/>
          <w:lang w:eastAsia="ko-KR"/>
        </w:rPr>
        <w:t>compare</w:t>
      </w:r>
      <w:r w:rsidRPr="006111EB">
        <w:rPr>
          <w:rFonts w:ascii="Calibri" w:hAnsi="Calibri" w:cs="Calibri"/>
          <w:sz w:val="22"/>
          <w:szCs w:val="22"/>
          <w:lang w:eastAsia="ko-KR"/>
        </w:rPr>
        <w:t>d</w:t>
      </w:r>
      <w:r w:rsidR="00C928A1" w:rsidRPr="006111EB">
        <w:rPr>
          <w:rFonts w:ascii="Calibri" w:hAnsi="Calibri" w:cs="Calibri"/>
          <w:sz w:val="22"/>
          <w:szCs w:val="22"/>
          <w:lang w:eastAsia="ko-KR"/>
        </w:rPr>
        <w:t xml:space="preserve"> the incidence of cancer </w:t>
      </w:r>
      <w:r w:rsidRPr="006111EB">
        <w:rPr>
          <w:rFonts w:ascii="Calibri" w:hAnsi="Calibri" w:cs="Calibri"/>
          <w:sz w:val="22"/>
          <w:szCs w:val="22"/>
          <w:lang w:eastAsia="ko-KR"/>
        </w:rPr>
        <w:t xml:space="preserve">between ranitidine and other H2RAs including </w:t>
      </w:r>
      <w:r w:rsidR="00087A38" w:rsidRPr="006111EB">
        <w:rPr>
          <w:rFonts w:ascii="Calibri" w:hAnsi="Calibri" w:cs="Calibri"/>
          <w:sz w:val="22"/>
          <w:szCs w:val="22"/>
          <w:lang w:eastAsia="ko-KR"/>
        </w:rPr>
        <w:t xml:space="preserve">famotidine, </w:t>
      </w:r>
      <w:r w:rsidR="00AF2B5A" w:rsidRPr="006111EB">
        <w:rPr>
          <w:rFonts w:ascii="Calibri" w:hAnsi="Calibri" w:cs="Calibri"/>
          <w:sz w:val="22"/>
          <w:szCs w:val="22"/>
          <w:lang w:eastAsia="ko-KR"/>
        </w:rPr>
        <w:t xml:space="preserve">roxatidine, and </w:t>
      </w:r>
      <w:r w:rsidR="00087A38" w:rsidRPr="006111EB">
        <w:rPr>
          <w:rFonts w:ascii="Calibri" w:hAnsi="Calibri" w:cs="Calibri"/>
          <w:sz w:val="22"/>
          <w:szCs w:val="22"/>
          <w:lang w:eastAsia="ko-KR"/>
        </w:rPr>
        <w:t>lafutidine</w:t>
      </w:r>
      <w:r w:rsidR="00AF2B5A" w:rsidRPr="006111EB">
        <w:rPr>
          <w:rFonts w:ascii="Calibri" w:hAnsi="Calibri" w:cs="Calibri"/>
          <w:sz w:val="22"/>
          <w:szCs w:val="22"/>
          <w:lang w:eastAsia="ko-KR"/>
        </w:rPr>
        <w:t xml:space="preserve">. </w:t>
      </w:r>
      <w:r w:rsidR="00C84131" w:rsidRPr="006111EB">
        <w:rPr>
          <w:rFonts w:ascii="Calibri" w:hAnsi="Calibri" w:cs="Calibri"/>
          <w:sz w:val="22"/>
          <w:szCs w:val="22"/>
          <w:lang w:eastAsia="ko-KR"/>
        </w:rPr>
        <w:t>We identif</w:t>
      </w:r>
      <w:r w:rsidRPr="006111EB">
        <w:rPr>
          <w:rFonts w:ascii="Calibri" w:hAnsi="Calibri" w:cs="Calibri"/>
          <w:sz w:val="22"/>
          <w:szCs w:val="22"/>
          <w:lang w:eastAsia="ko-KR"/>
        </w:rPr>
        <w:t>ied</w:t>
      </w:r>
      <w:r w:rsidR="00C84131" w:rsidRPr="006111EB">
        <w:rPr>
          <w:rFonts w:ascii="Calibri" w:hAnsi="Calibri" w:cs="Calibri"/>
          <w:sz w:val="22"/>
          <w:szCs w:val="22"/>
          <w:lang w:eastAsia="ko-KR"/>
        </w:rPr>
        <w:t xml:space="preserve"> eligible patients who </w:t>
      </w:r>
      <w:r w:rsidR="008F6A6F" w:rsidRPr="006111EB">
        <w:rPr>
          <w:rFonts w:ascii="Calibri" w:hAnsi="Calibri" w:cs="Calibri"/>
          <w:sz w:val="22"/>
          <w:szCs w:val="22"/>
          <w:lang w:eastAsia="ko-KR"/>
        </w:rPr>
        <w:t>started to use</w:t>
      </w:r>
      <w:r w:rsidR="00A100A7" w:rsidRPr="006111EB">
        <w:rPr>
          <w:rFonts w:ascii="Calibri" w:hAnsi="Calibri" w:cs="Calibri"/>
          <w:sz w:val="22"/>
          <w:szCs w:val="22"/>
          <w:lang w:eastAsia="ko-KR"/>
        </w:rPr>
        <w:t xml:space="preserve"> the H2RA longer than 30 days</w:t>
      </w:r>
      <w:r w:rsidR="002768C0" w:rsidRPr="006111EB">
        <w:rPr>
          <w:rFonts w:ascii="Calibri" w:hAnsi="Calibri" w:cs="Calibri"/>
          <w:sz w:val="22"/>
          <w:szCs w:val="22"/>
          <w:lang w:eastAsia="ko-KR"/>
        </w:rPr>
        <w:t>.</w:t>
      </w:r>
      <w:r w:rsidR="00830A63" w:rsidRPr="006111EB">
        <w:rPr>
          <w:rFonts w:ascii="Calibri" w:hAnsi="Calibri" w:cs="Calibri"/>
          <w:sz w:val="22"/>
          <w:szCs w:val="22"/>
          <w:lang w:eastAsia="ko-KR"/>
        </w:rPr>
        <w:t xml:space="preserve"> </w:t>
      </w:r>
      <w:r w:rsidRPr="006111EB">
        <w:rPr>
          <w:rFonts w:ascii="Calibri" w:hAnsi="Calibri" w:cs="Calibri"/>
          <w:sz w:val="22"/>
          <w:szCs w:val="22"/>
          <w:lang w:eastAsia="ko-KR"/>
        </w:rPr>
        <w:t xml:space="preserve">Primary outcome is overall cancer except non-melanoma skin cancer. Secondary outcomes include overall cancer, overall cancer except thyroid cancer, </w:t>
      </w:r>
      <w:r w:rsidR="00323F4F" w:rsidRPr="006111EB">
        <w:rPr>
          <w:rFonts w:ascii="Calibri" w:hAnsi="Calibri" w:cs="Calibri"/>
          <w:sz w:val="22"/>
          <w:szCs w:val="22"/>
          <w:lang w:eastAsia="ko-KR"/>
        </w:rPr>
        <w:t xml:space="preserve">16 types of cancer, and cancer mortality. </w:t>
      </w:r>
    </w:p>
    <w:p w14:paraId="088D5644" w14:textId="5D22D0AB" w:rsidR="0081107C" w:rsidRPr="006111EB" w:rsidRDefault="002D62A4" w:rsidP="001E3AA9">
      <w:pPr>
        <w:pStyle w:val="AMIABodyText"/>
        <w:rPr>
          <w:rFonts w:ascii="Calibri" w:hAnsi="Calibri" w:cs="Calibri"/>
          <w:sz w:val="22"/>
          <w:szCs w:val="22"/>
          <w:lang w:eastAsia="ko-KR"/>
        </w:rPr>
      </w:pPr>
      <w:r w:rsidRPr="006111EB">
        <w:rPr>
          <w:rFonts w:ascii="Calibri" w:hAnsi="Calibri" w:cs="Calibri"/>
          <w:sz w:val="22"/>
          <w:szCs w:val="22"/>
          <w:lang w:eastAsia="ko-KR"/>
        </w:rPr>
        <w:t xml:space="preserve">The analytic software package </w:t>
      </w:r>
      <w:r w:rsidR="003C69C8">
        <w:rPr>
          <w:rFonts w:ascii="Calibri" w:hAnsi="Calibri" w:cs="Calibri"/>
          <w:sz w:val="22"/>
          <w:szCs w:val="22"/>
          <w:lang w:eastAsia="ko-KR"/>
        </w:rPr>
        <w:t>and the detailed analytic plan are</w:t>
      </w:r>
      <w:r w:rsidRPr="006111EB">
        <w:rPr>
          <w:rFonts w:ascii="Calibri" w:hAnsi="Calibri" w:cs="Calibri"/>
          <w:sz w:val="22"/>
          <w:szCs w:val="22"/>
          <w:lang w:eastAsia="ko-KR"/>
        </w:rPr>
        <w:t xml:space="preserve"> available at </w:t>
      </w:r>
      <w:proofErr w:type="spellStart"/>
      <w:r w:rsidRPr="006111EB">
        <w:rPr>
          <w:rFonts w:ascii="Calibri" w:hAnsi="Calibri" w:cs="Calibri"/>
          <w:sz w:val="22"/>
          <w:szCs w:val="22"/>
          <w:lang w:eastAsia="ko-KR"/>
        </w:rPr>
        <w:t>github</w:t>
      </w:r>
      <w:proofErr w:type="spellEnd"/>
      <w:r w:rsidRPr="006111EB">
        <w:rPr>
          <w:rFonts w:ascii="Calibri" w:hAnsi="Calibri" w:cs="Calibri"/>
          <w:sz w:val="22"/>
          <w:szCs w:val="22"/>
          <w:lang w:eastAsia="ko-KR"/>
        </w:rPr>
        <w:t xml:space="preserve"> (</w:t>
      </w:r>
      <w:hyperlink r:id="rId10" w:history="1">
        <w:r w:rsidR="00A21C97" w:rsidRPr="006111EB">
          <w:rPr>
            <w:rStyle w:val="Hyperlink"/>
            <w:rFonts w:ascii="Calibri" w:hAnsi="Calibri" w:cs="Calibri"/>
            <w:sz w:val="22"/>
            <w:szCs w:val="22"/>
            <w:lang w:eastAsia="ko-KR"/>
          </w:rPr>
          <w:t>https://github.com/ohdsi-studies/RanitidineCancerRisk</w:t>
        </w:r>
      </w:hyperlink>
      <w:r w:rsidRPr="006111EB">
        <w:rPr>
          <w:rFonts w:ascii="Calibri" w:hAnsi="Calibri" w:cs="Calibri"/>
          <w:sz w:val="22"/>
          <w:szCs w:val="22"/>
          <w:lang w:eastAsia="ko-KR"/>
        </w:rPr>
        <w:t>).</w:t>
      </w:r>
      <w:r w:rsidR="00A21C97" w:rsidRPr="006111EB">
        <w:rPr>
          <w:rFonts w:ascii="Calibri" w:hAnsi="Calibri" w:cs="Calibri"/>
          <w:sz w:val="22"/>
          <w:szCs w:val="22"/>
          <w:lang w:eastAsia="ko-KR"/>
        </w:rPr>
        <w:t xml:space="preserve"> </w:t>
      </w:r>
      <w:r w:rsidR="00460A73">
        <w:rPr>
          <w:rFonts w:ascii="Calibri" w:hAnsi="Calibri" w:cs="Calibri"/>
          <w:sz w:val="22"/>
          <w:szCs w:val="22"/>
          <w:lang w:eastAsia="ko-KR"/>
        </w:rPr>
        <w:t>Since the study has not been completed yet, we reported only cohort sizes and incidence rate</w:t>
      </w:r>
      <w:r w:rsidR="000A3D84">
        <w:rPr>
          <w:rFonts w:ascii="Calibri" w:hAnsi="Calibri" w:cs="Calibri"/>
          <w:sz w:val="22"/>
          <w:szCs w:val="22"/>
          <w:lang w:eastAsia="ko-KR"/>
        </w:rPr>
        <w:t>s</w:t>
      </w:r>
      <w:r w:rsidR="00460A73">
        <w:rPr>
          <w:rFonts w:ascii="Calibri" w:hAnsi="Calibri" w:cs="Calibri"/>
          <w:sz w:val="22"/>
          <w:szCs w:val="22"/>
          <w:lang w:eastAsia="ko-KR"/>
        </w:rPr>
        <w:t xml:space="preserve"> of primary outcome</w:t>
      </w:r>
      <w:r w:rsidR="000A3D84">
        <w:rPr>
          <w:rFonts w:ascii="Calibri" w:hAnsi="Calibri" w:cs="Calibri"/>
          <w:sz w:val="22"/>
          <w:szCs w:val="22"/>
          <w:lang w:eastAsia="ko-KR"/>
        </w:rPr>
        <w:t xml:space="preserve"> without statistical judgement. </w:t>
      </w:r>
    </w:p>
    <w:p w14:paraId="09F52DC8" w14:textId="3D3AB69A" w:rsidR="00781CE1" w:rsidRPr="006111EB" w:rsidRDefault="00B460F6" w:rsidP="00940944">
      <w:pPr>
        <w:pStyle w:val="AMIAHeading"/>
        <w:rPr>
          <w:rFonts w:ascii="Calibri" w:hAnsi="Calibri" w:cs="Calibri"/>
          <w:sz w:val="22"/>
          <w:szCs w:val="22"/>
        </w:rPr>
      </w:pPr>
      <w:r w:rsidRPr="006111EB">
        <w:rPr>
          <w:rFonts w:ascii="Calibri" w:hAnsi="Calibri" w:cs="Calibri"/>
          <w:sz w:val="22"/>
          <w:szCs w:val="22"/>
        </w:rPr>
        <w:lastRenderedPageBreak/>
        <w:t>Results</w:t>
      </w:r>
    </w:p>
    <w:p w14:paraId="1DEA123F" w14:textId="0042BFDA" w:rsidR="00781CE1" w:rsidRPr="006111EB" w:rsidRDefault="00C453A5" w:rsidP="005A548C">
      <w:pPr>
        <w:pStyle w:val="AMIABodyText"/>
        <w:rPr>
          <w:rFonts w:ascii="Calibri" w:hAnsi="Calibri" w:cs="Calibri"/>
          <w:sz w:val="22"/>
          <w:szCs w:val="22"/>
          <w:lang w:eastAsia="ko-KR"/>
        </w:rPr>
      </w:pPr>
      <w:r w:rsidRPr="006111EB">
        <w:rPr>
          <w:rFonts w:ascii="Calibri" w:hAnsi="Calibri" w:cs="Calibri"/>
          <w:sz w:val="22"/>
          <w:szCs w:val="22"/>
          <w:lang w:eastAsia="ko-KR"/>
        </w:rPr>
        <w:t xml:space="preserve">In comparison between ranitidine </w:t>
      </w:r>
      <w:r w:rsidR="00DC115A" w:rsidRPr="006111EB">
        <w:rPr>
          <w:rFonts w:ascii="Calibri" w:hAnsi="Calibri" w:cs="Calibri"/>
          <w:sz w:val="22"/>
          <w:szCs w:val="22"/>
          <w:lang w:eastAsia="ko-KR"/>
        </w:rPr>
        <w:t>vs</w:t>
      </w:r>
      <w:r w:rsidRPr="006111EB">
        <w:rPr>
          <w:rFonts w:ascii="Calibri" w:hAnsi="Calibri" w:cs="Calibri"/>
          <w:sz w:val="22"/>
          <w:szCs w:val="22"/>
          <w:lang w:eastAsia="ko-KR"/>
        </w:rPr>
        <w:t xml:space="preserve"> cimetidine</w:t>
      </w:r>
      <w:r w:rsidR="00DC115A" w:rsidRPr="006111EB">
        <w:rPr>
          <w:rFonts w:ascii="Calibri" w:hAnsi="Calibri" w:cs="Calibri"/>
          <w:sz w:val="22"/>
          <w:szCs w:val="22"/>
          <w:lang w:eastAsia="ko-KR"/>
        </w:rPr>
        <w:t xml:space="preserve"> for incident cancer except </w:t>
      </w:r>
      <w:r w:rsidR="0091269E">
        <w:rPr>
          <w:rFonts w:ascii="Calibri" w:hAnsi="Calibri" w:cs="Calibri"/>
          <w:sz w:val="22"/>
          <w:szCs w:val="22"/>
          <w:lang w:eastAsia="ko-KR"/>
        </w:rPr>
        <w:t>non-melanoma skin</w:t>
      </w:r>
      <w:r w:rsidR="00DC115A" w:rsidRPr="006111EB">
        <w:rPr>
          <w:rFonts w:ascii="Calibri" w:hAnsi="Calibri" w:cs="Calibri"/>
          <w:sz w:val="22"/>
          <w:szCs w:val="22"/>
          <w:lang w:eastAsia="ko-KR"/>
        </w:rPr>
        <w:t xml:space="preserve"> cancer, </w:t>
      </w:r>
      <w:r w:rsidR="002341D4" w:rsidRPr="006111EB">
        <w:rPr>
          <w:rFonts w:ascii="Calibri" w:hAnsi="Calibri" w:cs="Calibri"/>
          <w:sz w:val="22"/>
          <w:szCs w:val="22"/>
          <w:lang w:eastAsia="ko-KR"/>
        </w:rPr>
        <w:t>we identified 34,598 and 135,155 patients in each cohort</w:t>
      </w:r>
      <w:r w:rsidR="007807D7" w:rsidRPr="006111EB">
        <w:rPr>
          <w:rFonts w:ascii="Calibri" w:hAnsi="Calibri" w:cs="Calibri"/>
          <w:sz w:val="22"/>
          <w:szCs w:val="22"/>
          <w:lang w:eastAsia="ko-KR"/>
        </w:rPr>
        <w:t xml:space="preserve">. The </w:t>
      </w:r>
      <w:r w:rsidR="00FA0361" w:rsidRPr="006111EB">
        <w:rPr>
          <w:rFonts w:ascii="Calibri" w:hAnsi="Calibri" w:cs="Calibri"/>
          <w:sz w:val="22"/>
          <w:szCs w:val="22"/>
          <w:lang w:eastAsia="ko-KR"/>
        </w:rPr>
        <w:t xml:space="preserve">median </w:t>
      </w:r>
      <w:r w:rsidR="007807D7" w:rsidRPr="006111EB">
        <w:rPr>
          <w:rFonts w:ascii="Calibri" w:hAnsi="Calibri" w:cs="Calibri"/>
          <w:sz w:val="22"/>
          <w:szCs w:val="22"/>
          <w:lang w:eastAsia="ko-KR"/>
        </w:rPr>
        <w:t>on-treatment duration</w:t>
      </w:r>
      <w:r w:rsidR="00FA0361" w:rsidRPr="006111EB">
        <w:rPr>
          <w:rFonts w:ascii="Calibri" w:hAnsi="Calibri" w:cs="Calibri"/>
          <w:sz w:val="22"/>
          <w:szCs w:val="22"/>
          <w:lang w:eastAsia="ko-KR"/>
        </w:rPr>
        <w:t>s</w:t>
      </w:r>
      <w:r w:rsidR="007807D7" w:rsidRPr="006111EB">
        <w:rPr>
          <w:rFonts w:ascii="Calibri" w:hAnsi="Calibri" w:cs="Calibri"/>
          <w:sz w:val="22"/>
          <w:szCs w:val="22"/>
          <w:lang w:eastAsia="ko-KR"/>
        </w:rPr>
        <w:t xml:space="preserve"> </w:t>
      </w:r>
      <w:r w:rsidR="00FA0361" w:rsidRPr="006111EB">
        <w:rPr>
          <w:rFonts w:ascii="Calibri" w:hAnsi="Calibri" w:cs="Calibri"/>
          <w:sz w:val="22"/>
          <w:szCs w:val="22"/>
          <w:lang w:eastAsia="ko-KR"/>
        </w:rPr>
        <w:t>were 391 and 754 days in ranitidine and cimetidine cohort, respectively</w:t>
      </w:r>
      <w:r w:rsidR="00C62392" w:rsidRPr="006111EB">
        <w:rPr>
          <w:rFonts w:ascii="Calibri" w:hAnsi="Calibri" w:cs="Calibri"/>
          <w:sz w:val="22"/>
          <w:szCs w:val="22"/>
          <w:lang w:eastAsia="ko-KR"/>
        </w:rPr>
        <w:t xml:space="preserve">. The total duration of </w:t>
      </w:r>
      <w:r w:rsidR="00634931" w:rsidRPr="006111EB">
        <w:rPr>
          <w:rFonts w:ascii="Calibri" w:hAnsi="Calibri" w:cs="Calibri"/>
          <w:sz w:val="22"/>
          <w:szCs w:val="22"/>
          <w:lang w:eastAsia="ko-KR"/>
        </w:rPr>
        <w:t>follow-up until the drug</w:t>
      </w:r>
      <w:r w:rsidR="00F02782" w:rsidRPr="006111EB">
        <w:rPr>
          <w:rFonts w:ascii="Calibri" w:hAnsi="Calibri" w:cs="Calibri"/>
          <w:sz w:val="22"/>
          <w:szCs w:val="22"/>
          <w:lang w:eastAsia="ko-KR"/>
        </w:rPr>
        <w:t xml:space="preserve"> cessation or switching H2RAs were </w:t>
      </w:r>
      <w:r w:rsidR="003B4B4A" w:rsidRPr="006111EB">
        <w:rPr>
          <w:rFonts w:ascii="Calibri" w:hAnsi="Calibri" w:cs="Calibri"/>
          <w:sz w:val="22"/>
          <w:szCs w:val="22"/>
          <w:lang w:eastAsia="ko-KR"/>
        </w:rPr>
        <w:t xml:space="preserve">57,434 and 383,536 </w:t>
      </w:r>
      <w:r w:rsidR="006D2C1C" w:rsidRPr="006111EB">
        <w:rPr>
          <w:rFonts w:ascii="Calibri" w:hAnsi="Calibri" w:cs="Calibri"/>
          <w:sz w:val="22"/>
          <w:szCs w:val="22"/>
          <w:lang w:eastAsia="ko-KR"/>
        </w:rPr>
        <w:t>person-</w:t>
      </w:r>
      <w:r w:rsidR="003B4B4A" w:rsidRPr="006111EB">
        <w:rPr>
          <w:rFonts w:ascii="Calibri" w:hAnsi="Calibri" w:cs="Calibri"/>
          <w:sz w:val="22"/>
          <w:szCs w:val="22"/>
          <w:lang w:eastAsia="ko-KR"/>
        </w:rPr>
        <w:t>years in ranitidine and cimetidine</w:t>
      </w:r>
      <w:r w:rsidR="00114C20" w:rsidRPr="006111EB">
        <w:rPr>
          <w:rFonts w:ascii="Calibri" w:hAnsi="Calibri" w:cs="Calibri"/>
          <w:sz w:val="22"/>
          <w:szCs w:val="22"/>
          <w:lang w:eastAsia="ko-KR"/>
        </w:rPr>
        <w:t>, respectively</w:t>
      </w:r>
      <w:r w:rsidR="003B4B4A" w:rsidRPr="006111EB">
        <w:rPr>
          <w:rFonts w:ascii="Calibri" w:hAnsi="Calibri" w:cs="Calibri"/>
          <w:sz w:val="22"/>
          <w:szCs w:val="22"/>
          <w:lang w:eastAsia="ko-KR"/>
        </w:rPr>
        <w:t xml:space="preserve">. </w:t>
      </w:r>
      <w:r w:rsidR="000F7151" w:rsidRPr="006111EB">
        <w:rPr>
          <w:rFonts w:ascii="Calibri" w:hAnsi="Calibri" w:cs="Calibri"/>
          <w:sz w:val="22"/>
          <w:szCs w:val="22"/>
        </w:rPr>
        <w:t xml:space="preserve">The </w:t>
      </w:r>
      <w:r w:rsidR="002127E5">
        <w:rPr>
          <w:rFonts w:ascii="Calibri" w:hAnsi="Calibri" w:cs="Calibri"/>
          <w:sz w:val="22"/>
          <w:szCs w:val="22"/>
        </w:rPr>
        <w:t>blinded</w:t>
      </w:r>
      <w:r w:rsidR="008C2FFE" w:rsidRPr="006111EB">
        <w:rPr>
          <w:rFonts w:ascii="Calibri" w:hAnsi="Calibri" w:cs="Calibri"/>
          <w:sz w:val="22"/>
          <w:szCs w:val="22"/>
          <w:lang w:eastAsia="ko-KR"/>
        </w:rPr>
        <w:t xml:space="preserve"> </w:t>
      </w:r>
      <w:r w:rsidR="000F7151" w:rsidRPr="006111EB">
        <w:rPr>
          <w:rFonts w:ascii="Calibri" w:hAnsi="Calibri" w:cs="Calibri"/>
          <w:sz w:val="22"/>
          <w:szCs w:val="22"/>
        </w:rPr>
        <w:t xml:space="preserve">results from feasibility test in NHIS-NSC </w:t>
      </w:r>
      <w:r w:rsidR="004E26D7" w:rsidRPr="006111EB">
        <w:rPr>
          <w:rFonts w:ascii="Calibri" w:hAnsi="Calibri" w:cs="Calibri"/>
          <w:sz w:val="22"/>
          <w:szCs w:val="22"/>
        </w:rPr>
        <w:t>are</w:t>
      </w:r>
      <w:r w:rsidR="00F56362" w:rsidRPr="006111EB">
        <w:rPr>
          <w:rFonts w:ascii="Calibri" w:hAnsi="Calibri" w:cs="Calibri"/>
          <w:sz w:val="22"/>
          <w:szCs w:val="22"/>
        </w:rPr>
        <w:t xml:space="preserve"> also</w:t>
      </w:r>
      <w:r w:rsidR="000F7151" w:rsidRPr="006111EB">
        <w:rPr>
          <w:rFonts w:ascii="Calibri" w:hAnsi="Calibri" w:cs="Calibri"/>
          <w:sz w:val="22"/>
          <w:szCs w:val="22"/>
        </w:rPr>
        <w:t xml:space="preserve"> present in </w:t>
      </w:r>
      <w:hyperlink r:id="rId11" w:history="1">
        <w:r w:rsidR="005A548C" w:rsidRPr="006111EB">
          <w:rPr>
            <w:rStyle w:val="Hyperlink"/>
            <w:rFonts w:ascii="Calibri" w:hAnsi="Calibri" w:cs="Calibri"/>
            <w:sz w:val="22"/>
            <w:szCs w:val="22"/>
          </w:rPr>
          <w:t>https://data.ohdsi.org/RanitidineCancerRisk/</w:t>
        </w:r>
      </w:hyperlink>
      <w:r w:rsidR="005D2317" w:rsidRPr="006111EB">
        <w:rPr>
          <w:rFonts w:ascii="Calibri" w:hAnsi="Calibri" w:cs="Calibri"/>
          <w:sz w:val="22"/>
          <w:szCs w:val="22"/>
        </w:rPr>
        <w:t>.</w:t>
      </w:r>
      <w:r w:rsidR="000607E4" w:rsidRPr="006111EB">
        <w:rPr>
          <w:rFonts w:ascii="Calibri" w:hAnsi="Calibri" w:cs="Calibri"/>
          <w:sz w:val="22"/>
          <w:szCs w:val="22"/>
        </w:rPr>
        <w:t xml:space="preserve"> </w:t>
      </w:r>
    </w:p>
    <w:p w14:paraId="7102076B" w14:textId="77777777" w:rsidR="00582314" w:rsidRPr="006111EB" w:rsidRDefault="00582314" w:rsidP="00BB0293">
      <w:pPr>
        <w:pStyle w:val="AMIABodyText"/>
        <w:rPr>
          <w:rFonts w:ascii="Calibri" w:hAnsi="Calibri" w:cs="Calibri"/>
          <w:sz w:val="22"/>
          <w:szCs w:val="22"/>
        </w:rPr>
      </w:pPr>
    </w:p>
    <w:p w14:paraId="2AA47CAC" w14:textId="1AA15419" w:rsidR="00BB0293" w:rsidRPr="006111EB" w:rsidRDefault="00BB0293" w:rsidP="00BB0293">
      <w:pPr>
        <w:pStyle w:val="AMIABodyText"/>
        <w:rPr>
          <w:rFonts w:ascii="Calibri" w:hAnsi="Calibri" w:cs="Calibri"/>
          <w:sz w:val="22"/>
          <w:szCs w:val="22"/>
        </w:rPr>
      </w:pPr>
      <w:r w:rsidRPr="006111EB">
        <w:rPr>
          <w:rFonts w:ascii="Calibri" w:hAnsi="Calibri" w:cs="Calibri"/>
          <w:b/>
          <w:sz w:val="22"/>
          <w:szCs w:val="22"/>
        </w:rPr>
        <w:t xml:space="preserve">Table 1. </w:t>
      </w:r>
      <w:r w:rsidR="008727AB" w:rsidRPr="006111EB">
        <w:rPr>
          <w:rFonts w:ascii="Calibri" w:hAnsi="Calibri" w:cs="Calibri"/>
          <w:b/>
          <w:sz w:val="22"/>
          <w:szCs w:val="22"/>
        </w:rPr>
        <w:t xml:space="preserve">Patient cohort sizes, median follow-up duration, incidence rate of </w:t>
      </w:r>
      <w:r w:rsidR="0007124A" w:rsidRPr="006111EB">
        <w:rPr>
          <w:rFonts w:ascii="Calibri" w:hAnsi="Calibri" w:cs="Calibri"/>
          <w:b/>
          <w:sz w:val="22"/>
          <w:szCs w:val="22"/>
        </w:rPr>
        <w:t xml:space="preserve">cancers except thyroid cancer, and MDRR </w:t>
      </w:r>
      <w:r w:rsidR="00B05DD5" w:rsidRPr="006111EB">
        <w:rPr>
          <w:rFonts w:ascii="Calibri" w:hAnsi="Calibri" w:cs="Calibri"/>
          <w:b/>
          <w:sz w:val="22"/>
          <w:szCs w:val="22"/>
        </w:rPr>
        <w:t>under</w:t>
      </w:r>
      <w:r w:rsidR="0007124A" w:rsidRPr="006111EB">
        <w:rPr>
          <w:rFonts w:ascii="Calibri" w:hAnsi="Calibri" w:cs="Calibri"/>
          <w:b/>
          <w:sz w:val="22"/>
          <w:szCs w:val="22"/>
        </w:rPr>
        <w:t xml:space="preserve"> </w:t>
      </w:r>
      <w:r w:rsidR="00B05DD5" w:rsidRPr="006111EB">
        <w:rPr>
          <w:rFonts w:ascii="Calibri" w:hAnsi="Calibri" w:cs="Calibri"/>
          <w:b/>
          <w:sz w:val="22"/>
          <w:szCs w:val="22"/>
        </w:rPr>
        <w:t>intent-to-treat</w:t>
      </w:r>
      <w:r w:rsidR="0007124A" w:rsidRPr="006111EB">
        <w:rPr>
          <w:rFonts w:ascii="Calibri" w:hAnsi="Calibri" w:cs="Calibri"/>
          <w:b/>
          <w:sz w:val="22"/>
          <w:szCs w:val="22"/>
        </w:rPr>
        <w:t xml:space="preserve"> </w:t>
      </w:r>
      <w:r w:rsidR="00B05DD5" w:rsidRPr="006111EB">
        <w:rPr>
          <w:rFonts w:ascii="Calibri" w:hAnsi="Calibri" w:cs="Calibri"/>
          <w:b/>
          <w:sz w:val="22"/>
          <w:szCs w:val="22"/>
        </w:rPr>
        <w:t xml:space="preserve">analysis </w:t>
      </w:r>
      <w:r w:rsidR="00BA069D" w:rsidRPr="006111EB">
        <w:rPr>
          <w:rFonts w:ascii="Calibri" w:hAnsi="Calibri" w:cs="Calibri"/>
          <w:b/>
          <w:sz w:val="22"/>
          <w:szCs w:val="22"/>
        </w:rPr>
        <w:t>with 1-year blanking period</w:t>
      </w:r>
    </w:p>
    <w:tbl>
      <w:tblPr>
        <w:tblW w:w="8138" w:type="dxa"/>
        <w:tblLook w:val="04A0" w:firstRow="1" w:lastRow="0" w:firstColumn="1" w:lastColumn="0" w:noHBand="0" w:noVBand="1"/>
      </w:tblPr>
      <w:tblGrid>
        <w:gridCol w:w="1123"/>
        <w:gridCol w:w="1295"/>
        <w:gridCol w:w="1020"/>
        <w:gridCol w:w="1020"/>
        <w:gridCol w:w="960"/>
        <w:gridCol w:w="960"/>
        <w:gridCol w:w="860"/>
        <w:gridCol w:w="860"/>
        <w:gridCol w:w="779"/>
      </w:tblGrid>
      <w:tr w:rsidR="00483888" w:rsidRPr="006111EB" w14:paraId="4E4327E1" w14:textId="77777777" w:rsidTr="00B746BD">
        <w:trPr>
          <w:trHeight w:val="500"/>
        </w:trPr>
        <w:tc>
          <w:tcPr>
            <w:tcW w:w="1050" w:type="dxa"/>
            <w:vMerge w:val="restart"/>
            <w:tcBorders>
              <w:top w:val="single" w:sz="4" w:space="0" w:color="auto"/>
              <w:left w:val="nil"/>
              <w:bottom w:val="single" w:sz="4" w:space="0" w:color="000000"/>
              <w:right w:val="nil"/>
            </w:tcBorders>
            <w:shd w:val="clear" w:color="auto" w:fill="auto"/>
            <w:noWrap/>
            <w:vAlign w:val="center"/>
            <w:hideMark/>
          </w:tcPr>
          <w:p w14:paraId="35EA94C8" w14:textId="77777777" w:rsidR="00483888" w:rsidRPr="006111EB" w:rsidRDefault="00483888" w:rsidP="00483888">
            <w:pPr>
              <w:jc w:val="cente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Target</w:t>
            </w:r>
          </w:p>
        </w:tc>
        <w:tc>
          <w:tcPr>
            <w:tcW w:w="1172" w:type="dxa"/>
            <w:vMerge w:val="restart"/>
            <w:tcBorders>
              <w:top w:val="single" w:sz="4" w:space="0" w:color="auto"/>
              <w:left w:val="nil"/>
              <w:bottom w:val="single" w:sz="4" w:space="0" w:color="000000"/>
              <w:right w:val="nil"/>
            </w:tcBorders>
            <w:shd w:val="clear" w:color="auto" w:fill="auto"/>
            <w:noWrap/>
            <w:vAlign w:val="center"/>
            <w:hideMark/>
          </w:tcPr>
          <w:p w14:paraId="035A7B27" w14:textId="77777777" w:rsidR="00483888" w:rsidRPr="006111EB" w:rsidRDefault="00483888" w:rsidP="00483888">
            <w:pPr>
              <w:jc w:val="cente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Comparator</w:t>
            </w:r>
          </w:p>
        </w:tc>
        <w:tc>
          <w:tcPr>
            <w:tcW w:w="2040" w:type="dxa"/>
            <w:gridSpan w:val="2"/>
            <w:tcBorders>
              <w:top w:val="single" w:sz="4" w:space="0" w:color="auto"/>
              <w:left w:val="nil"/>
              <w:bottom w:val="single" w:sz="4" w:space="0" w:color="auto"/>
              <w:right w:val="nil"/>
            </w:tcBorders>
            <w:shd w:val="clear" w:color="auto" w:fill="auto"/>
            <w:noWrap/>
            <w:vAlign w:val="center"/>
            <w:hideMark/>
          </w:tcPr>
          <w:p w14:paraId="41332703" w14:textId="77777777" w:rsidR="00483888" w:rsidRPr="006111EB" w:rsidRDefault="00483888" w:rsidP="00483888">
            <w:pPr>
              <w:jc w:val="cente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Number of subjects, n</w:t>
            </w:r>
          </w:p>
        </w:tc>
        <w:tc>
          <w:tcPr>
            <w:tcW w:w="1920" w:type="dxa"/>
            <w:gridSpan w:val="2"/>
            <w:tcBorders>
              <w:top w:val="single" w:sz="4" w:space="0" w:color="auto"/>
              <w:left w:val="nil"/>
              <w:bottom w:val="single" w:sz="4" w:space="0" w:color="auto"/>
              <w:right w:val="nil"/>
            </w:tcBorders>
            <w:shd w:val="clear" w:color="auto" w:fill="auto"/>
            <w:vAlign w:val="center"/>
            <w:hideMark/>
          </w:tcPr>
          <w:p w14:paraId="626C7F7F" w14:textId="77777777" w:rsidR="00483888" w:rsidRPr="006111EB" w:rsidRDefault="00483888" w:rsidP="00483888">
            <w:pPr>
              <w:jc w:val="cente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 xml:space="preserve">Median follow-up </w:t>
            </w:r>
            <w:r w:rsidRPr="006111EB">
              <w:rPr>
                <w:rFonts w:ascii="Calibri" w:eastAsia="맑은 고딕" w:hAnsi="Calibri" w:cs="Calibri"/>
                <w:color w:val="000000"/>
                <w:sz w:val="22"/>
                <w:szCs w:val="22"/>
                <w:lang w:eastAsia="ko-KR"/>
              </w:rPr>
              <w:br/>
              <w:t>duration, days</w:t>
            </w:r>
          </w:p>
        </w:tc>
        <w:tc>
          <w:tcPr>
            <w:tcW w:w="1720" w:type="dxa"/>
            <w:gridSpan w:val="2"/>
            <w:tcBorders>
              <w:top w:val="single" w:sz="4" w:space="0" w:color="auto"/>
              <w:left w:val="nil"/>
              <w:bottom w:val="single" w:sz="4" w:space="0" w:color="auto"/>
              <w:right w:val="nil"/>
            </w:tcBorders>
            <w:shd w:val="clear" w:color="auto" w:fill="auto"/>
            <w:vAlign w:val="center"/>
            <w:hideMark/>
          </w:tcPr>
          <w:p w14:paraId="77640A11" w14:textId="77777777" w:rsidR="00483888" w:rsidRPr="006111EB" w:rsidRDefault="00483888" w:rsidP="00483888">
            <w:pPr>
              <w:jc w:val="cente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Incidence rate,</w:t>
            </w:r>
            <w:r w:rsidRPr="006111EB">
              <w:rPr>
                <w:rFonts w:ascii="Calibri" w:eastAsia="맑은 고딕" w:hAnsi="Calibri" w:cs="Calibri"/>
                <w:color w:val="000000"/>
                <w:sz w:val="22"/>
                <w:szCs w:val="22"/>
                <w:lang w:eastAsia="ko-KR"/>
              </w:rPr>
              <w:br/>
              <w:t xml:space="preserve"> per 1000 PY</w:t>
            </w:r>
          </w:p>
        </w:tc>
        <w:tc>
          <w:tcPr>
            <w:tcW w:w="236" w:type="dxa"/>
            <w:vMerge w:val="restart"/>
            <w:tcBorders>
              <w:top w:val="single" w:sz="4" w:space="0" w:color="auto"/>
              <w:left w:val="nil"/>
              <w:bottom w:val="single" w:sz="4" w:space="0" w:color="000000"/>
              <w:right w:val="nil"/>
            </w:tcBorders>
            <w:shd w:val="clear" w:color="auto" w:fill="auto"/>
            <w:noWrap/>
            <w:vAlign w:val="center"/>
            <w:hideMark/>
          </w:tcPr>
          <w:p w14:paraId="53E333B2" w14:textId="77777777" w:rsidR="00483888" w:rsidRPr="006111EB" w:rsidRDefault="00483888" w:rsidP="00483888">
            <w:pPr>
              <w:jc w:val="cente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MDRR</w:t>
            </w:r>
          </w:p>
        </w:tc>
      </w:tr>
      <w:tr w:rsidR="00483888" w:rsidRPr="006111EB" w14:paraId="4AF030AF" w14:textId="77777777" w:rsidTr="00B746BD">
        <w:trPr>
          <w:trHeight w:val="320"/>
        </w:trPr>
        <w:tc>
          <w:tcPr>
            <w:tcW w:w="1050" w:type="dxa"/>
            <w:vMerge/>
            <w:tcBorders>
              <w:top w:val="single" w:sz="4" w:space="0" w:color="auto"/>
              <w:left w:val="nil"/>
              <w:bottom w:val="single" w:sz="4" w:space="0" w:color="000000"/>
              <w:right w:val="nil"/>
            </w:tcBorders>
            <w:vAlign w:val="center"/>
            <w:hideMark/>
          </w:tcPr>
          <w:p w14:paraId="015DB204" w14:textId="77777777" w:rsidR="00483888" w:rsidRPr="006111EB" w:rsidRDefault="00483888" w:rsidP="00483888">
            <w:pPr>
              <w:rPr>
                <w:rFonts w:ascii="Calibri" w:eastAsia="Times New Roman" w:hAnsi="Calibri" w:cs="Calibri"/>
                <w:color w:val="000000"/>
                <w:sz w:val="22"/>
                <w:szCs w:val="22"/>
                <w:lang w:eastAsia="ko-KR"/>
              </w:rPr>
            </w:pPr>
          </w:p>
        </w:tc>
        <w:tc>
          <w:tcPr>
            <w:tcW w:w="1172" w:type="dxa"/>
            <w:vMerge/>
            <w:tcBorders>
              <w:top w:val="single" w:sz="4" w:space="0" w:color="auto"/>
              <w:left w:val="nil"/>
              <w:bottom w:val="single" w:sz="4" w:space="0" w:color="000000"/>
              <w:right w:val="nil"/>
            </w:tcBorders>
            <w:vAlign w:val="center"/>
            <w:hideMark/>
          </w:tcPr>
          <w:p w14:paraId="0282FDAD" w14:textId="77777777" w:rsidR="00483888" w:rsidRPr="006111EB" w:rsidRDefault="00483888" w:rsidP="00483888">
            <w:pPr>
              <w:rPr>
                <w:rFonts w:ascii="Calibri" w:eastAsia="Times New Roman" w:hAnsi="Calibri" w:cs="Calibri"/>
                <w:color w:val="000000"/>
                <w:sz w:val="22"/>
                <w:szCs w:val="22"/>
                <w:lang w:eastAsia="ko-KR"/>
              </w:rPr>
            </w:pPr>
          </w:p>
        </w:tc>
        <w:tc>
          <w:tcPr>
            <w:tcW w:w="1020" w:type="dxa"/>
            <w:tcBorders>
              <w:top w:val="nil"/>
              <w:left w:val="nil"/>
              <w:bottom w:val="single" w:sz="4" w:space="0" w:color="auto"/>
              <w:right w:val="nil"/>
            </w:tcBorders>
            <w:shd w:val="clear" w:color="auto" w:fill="auto"/>
            <w:noWrap/>
            <w:vAlign w:val="bottom"/>
            <w:hideMark/>
          </w:tcPr>
          <w:p w14:paraId="764A8E7E" w14:textId="77777777" w:rsidR="00483888" w:rsidRPr="006111EB" w:rsidRDefault="00483888" w:rsidP="00483888">
            <w:pPr>
              <w:jc w:val="cente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T</w:t>
            </w:r>
          </w:p>
        </w:tc>
        <w:tc>
          <w:tcPr>
            <w:tcW w:w="1020" w:type="dxa"/>
            <w:tcBorders>
              <w:top w:val="nil"/>
              <w:left w:val="nil"/>
              <w:bottom w:val="single" w:sz="4" w:space="0" w:color="auto"/>
              <w:right w:val="nil"/>
            </w:tcBorders>
            <w:shd w:val="clear" w:color="auto" w:fill="auto"/>
            <w:noWrap/>
            <w:vAlign w:val="bottom"/>
            <w:hideMark/>
          </w:tcPr>
          <w:p w14:paraId="25496967" w14:textId="77777777" w:rsidR="00483888" w:rsidRPr="006111EB" w:rsidRDefault="00483888" w:rsidP="00483888">
            <w:pPr>
              <w:jc w:val="cente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C</w:t>
            </w:r>
          </w:p>
        </w:tc>
        <w:tc>
          <w:tcPr>
            <w:tcW w:w="960" w:type="dxa"/>
            <w:tcBorders>
              <w:top w:val="nil"/>
              <w:left w:val="nil"/>
              <w:bottom w:val="single" w:sz="4" w:space="0" w:color="auto"/>
              <w:right w:val="nil"/>
            </w:tcBorders>
            <w:shd w:val="clear" w:color="auto" w:fill="auto"/>
            <w:noWrap/>
            <w:vAlign w:val="bottom"/>
            <w:hideMark/>
          </w:tcPr>
          <w:p w14:paraId="0C5D55AF" w14:textId="77777777" w:rsidR="00483888" w:rsidRPr="006111EB" w:rsidRDefault="00483888" w:rsidP="00483888">
            <w:pPr>
              <w:jc w:val="cente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 xml:space="preserve"> T </w:t>
            </w:r>
          </w:p>
        </w:tc>
        <w:tc>
          <w:tcPr>
            <w:tcW w:w="960" w:type="dxa"/>
            <w:tcBorders>
              <w:top w:val="nil"/>
              <w:left w:val="nil"/>
              <w:bottom w:val="single" w:sz="4" w:space="0" w:color="auto"/>
              <w:right w:val="nil"/>
            </w:tcBorders>
            <w:shd w:val="clear" w:color="auto" w:fill="auto"/>
            <w:noWrap/>
            <w:vAlign w:val="bottom"/>
            <w:hideMark/>
          </w:tcPr>
          <w:p w14:paraId="73ACD611" w14:textId="77777777" w:rsidR="00483888" w:rsidRPr="006111EB" w:rsidRDefault="00483888" w:rsidP="00483888">
            <w:pPr>
              <w:jc w:val="cente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 xml:space="preserve"> C </w:t>
            </w:r>
          </w:p>
        </w:tc>
        <w:tc>
          <w:tcPr>
            <w:tcW w:w="860" w:type="dxa"/>
            <w:tcBorders>
              <w:top w:val="nil"/>
              <w:left w:val="nil"/>
              <w:bottom w:val="single" w:sz="4" w:space="0" w:color="auto"/>
              <w:right w:val="nil"/>
            </w:tcBorders>
            <w:shd w:val="clear" w:color="auto" w:fill="auto"/>
            <w:noWrap/>
            <w:vAlign w:val="bottom"/>
            <w:hideMark/>
          </w:tcPr>
          <w:p w14:paraId="489D2C8E" w14:textId="77777777" w:rsidR="00483888" w:rsidRPr="006111EB" w:rsidRDefault="00483888" w:rsidP="00483888">
            <w:pPr>
              <w:jc w:val="cente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T</w:t>
            </w:r>
          </w:p>
        </w:tc>
        <w:tc>
          <w:tcPr>
            <w:tcW w:w="860" w:type="dxa"/>
            <w:tcBorders>
              <w:top w:val="nil"/>
              <w:left w:val="nil"/>
              <w:bottom w:val="single" w:sz="4" w:space="0" w:color="auto"/>
              <w:right w:val="nil"/>
            </w:tcBorders>
            <w:shd w:val="clear" w:color="auto" w:fill="auto"/>
            <w:noWrap/>
            <w:vAlign w:val="bottom"/>
            <w:hideMark/>
          </w:tcPr>
          <w:p w14:paraId="50C33075" w14:textId="77777777" w:rsidR="00483888" w:rsidRPr="006111EB" w:rsidRDefault="00483888" w:rsidP="00483888">
            <w:pPr>
              <w:jc w:val="cente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C</w:t>
            </w:r>
          </w:p>
        </w:tc>
        <w:tc>
          <w:tcPr>
            <w:tcW w:w="236" w:type="dxa"/>
            <w:vMerge/>
            <w:tcBorders>
              <w:top w:val="single" w:sz="4" w:space="0" w:color="auto"/>
              <w:left w:val="nil"/>
              <w:bottom w:val="single" w:sz="4" w:space="0" w:color="000000"/>
              <w:right w:val="nil"/>
            </w:tcBorders>
            <w:vAlign w:val="center"/>
            <w:hideMark/>
          </w:tcPr>
          <w:p w14:paraId="6B26CF6B" w14:textId="77777777" w:rsidR="00483888" w:rsidRPr="006111EB" w:rsidRDefault="00483888" w:rsidP="00483888">
            <w:pPr>
              <w:rPr>
                <w:rFonts w:ascii="Calibri" w:eastAsia="Times New Roman" w:hAnsi="Calibri" w:cs="Calibri"/>
                <w:color w:val="000000"/>
                <w:sz w:val="22"/>
                <w:szCs w:val="22"/>
                <w:lang w:eastAsia="ko-KR"/>
              </w:rPr>
            </w:pPr>
          </w:p>
        </w:tc>
      </w:tr>
      <w:tr w:rsidR="00483888" w:rsidRPr="006111EB" w14:paraId="55F84504" w14:textId="77777777" w:rsidTr="00B746BD">
        <w:trPr>
          <w:trHeight w:val="320"/>
        </w:trPr>
        <w:tc>
          <w:tcPr>
            <w:tcW w:w="1050" w:type="dxa"/>
            <w:vMerge w:val="restart"/>
            <w:tcBorders>
              <w:top w:val="nil"/>
              <w:left w:val="nil"/>
              <w:bottom w:val="single" w:sz="4" w:space="0" w:color="000000"/>
              <w:right w:val="nil"/>
            </w:tcBorders>
            <w:shd w:val="clear" w:color="auto" w:fill="auto"/>
            <w:noWrap/>
            <w:vAlign w:val="center"/>
            <w:hideMark/>
          </w:tcPr>
          <w:p w14:paraId="7B888A4E" w14:textId="77777777" w:rsidR="00483888" w:rsidRPr="006111EB" w:rsidRDefault="00483888" w:rsidP="00483888">
            <w:pPr>
              <w:jc w:val="cente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Ranitidine</w:t>
            </w:r>
          </w:p>
        </w:tc>
        <w:tc>
          <w:tcPr>
            <w:tcW w:w="1172" w:type="dxa"/>
            <w:tcBorders>
              <w:top w:val="nil"/>
              <w:left w:val="nil"/>
              <w:bottom w:val="nil"/>
              <w:right w:val="nil"/>
            </w:tcBorders>
            <w:shd w:val="clear" w:color="auto" w:fill="auto"/>
            <w:noWrap/>
            <w:vAlign w:val="bottom"/>
            <w:hideMark/>
          </w:tcPr>
          <w:p w14:paraId="402EBF48"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Cimetidine</w:t>
            </w:r>
          </w:p>
        </w:tc>
        <w:tc>
          <w:tcPr>
            <w:tcW w:w="1020" w:type="dxa"/>
            <w:tcBorders>
              <w:top w:val="nil"/>
              <w:left w:val="nil"/>
              <w:bottom w:val="nil"/>
              <w:right w:val="nil"/>
            </w:tcBorders>
            <w:shd w:val="clear" w:color="auto" w:fill="auto"/>
            <w:noWrap/>
            <w:vAlign w:val="bottom"/>
            <w:hideMark/>
          </w:tcPr>
          <w:p w14:paraId="5C6D0B31"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 xml:space="preserve">     30,079 </w:t>
            </w:r>
          </w:p>
        </w:tc>
        <w:tc>
          <w:tcPr>
            <w:tcW w:w="1020" w:type="dxa"/>
            <w:tcBorders>
              <w:top w:val="nil"/>
              <w:left w:val="nil"/>
              <w:bottom w:val="nil"/>
              <w:right w:val="nil"/>
            </w:tcBorders>
            <w:shd w:val="clear" w:color="auto" w:fill="auto"/>
            <w:noWrap/>
            <w:vAlign w:val="bottom"/>
            <w:hideMark/>
          </w:tcPr>
          <w:p w14:paraId="5E532F11"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 xml:space="preserve">   125,210 </w:t>
            </w:r>
          </w:p>
        </w:tc>
        <w:tc>
          <w:tcPr>
            <w:tcW w:w="960" w:type="dxa"/>
            <w:tcBorders>
              <w:top w:val="nil"/>
              <w:left w:val="nil"/>
              <w:bottom w:val="nil"/>
              <w:right w:val="nil"/>
            </w:tcBorders>
            <w:shd w:val="clear" w:color="auto" w:fill="auto"/>
            <w:noWrap/>
            <w:vAlign w:val="bottom"/>
            <w:hideMark/>
          </w:tcPr>
          <w:p w14:paraId="384177F7"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 xml:space="preserve">     1,231 </w:t>
            </w:r>
          </w:p>
        </w:tc>
        <w:tc>
          <w:tcPr>
            <w:tcW w:w="960" w:type="dxa"/>
            <w:tcBorders>
              <w:top w:val="nil"/>
              <w:left w:val="nil"/>
              <w:bottom w:val="nil"/>
              <w:right w:val="nil"/>
            </w:tcBorders>
            <w:shd w:val="clear" w:color="auto" w:fill="auto"/>
            <w:noWrap/>
            <w:vAlign w:val="bottom"/>
            <w:hideMark/>
          </w:tcPr>
          <w:p w14:paraId="42A421F0"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 xml:space="preserve">     1,919 </w:t>
            </w:r>
          </w:p>
        </w:tc>
        <w:tc>
          <w:tcPr>
            <w:tcW w:w="860" w:type="dxa"/>
            <w:tcBorders>
              <w:top w:val="nil"/>
              <w:left w:val="nil"/>
              <w:bottom w:val="nil"/>
              <w:right w:val="nil"/>
            </w:tcBorders>
            <w:shd w:val="clear" w:color="auto" w:fill="auto"/>
            <w:noWrap/>
            <w:vAlign w:val="bottom"/>
            <w:hideMark/>
          </w:tcPr>
          <w:p w14:paraId="2DB6BA8C"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6.72</w:t>
            </w:r>
          </w:p>
        </w:tc>
        <w:tc>
          <w:tcPr>
            <w:tcW w:w="860" w:type="dxa"/>
            <w:tcBorders>
              <w:top w:val="nil"/>
              <w:left w:val="nil"/>
              <w:bottom w:val="nil"/>
              <w:right w:val="nil"/>
            </w:tcBorders>
            <w:shd w:val="clear" w:color="auto" w:fill="auto"/>
            <w:noWrap/>
            <w:vAlign w:val="bottom"/>
            <w:hideMark/>
          </w:tcPr>
          <w:p w14:paraId="561F55D7"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5.37</w:t>
            </w:r>
          </w:p>
        </w:tc>
        <w:tc>
          <w:tcPr>
            <w:tcW w:w="236" w:type="dxa"/>
            <w:tcBorders>
              <w:top w:val="nil"/>
              <w:left w:val="nil"/>
              <w:bottom w:val="nil"/>
              <w:right w:val="nil"/>
            </w:tcBorders>
            <w:shd w:val="clear" w:color="auto" w:fill="auto"/>
            <w:noWrap/>
            <w:vAlign w:val="bottom"/>
            <w:hideMark/>
          </w:tcPr>
          <w:p w14:paraId="0B2CEFCD"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1.11</w:t>
            </w:r>
          </w:p>
        </w:tc>
      </w:tr>
      <w:tr w:rsidR="00483888" w:rsidRPr="006111EB" w14:paraId="3FBCEF14" w14:textId="77777777" w:rsidTr="00B746BD">
        <w:trPr>
          <w:trHeight w:val="320"/>
        </w:trPr>
        <w:tc>
          <w:tcPr>
            <w:tcW w:w="1050" w:type="dxa"/>
            <w:vMerge/>
            <w:tcBorders>
              <w:top w:val="nil"/>
              <w:left w:val="nil"/>
              <w:bottom w:val="single" w:sz="4" w:space="0" w:color="000000"/>
              <w:right w:val="nil"/>
            </w:tcBorders>
            <w:vAlign w:val="center"/>
            <w:hideMark/>
          </w:tcPr>
          <w:p w14:paraId="307C977A" w14:textId="77777777" w:rsidR="00483888" w:rsidRPr="006111EB" w:rsidRDefault="00483888" w:rsidP="00483888">
            <w:pPr>
              <w:rPr>
                <w:rFonts w:ascii="Calibri" w:eastAsia="Times New Roman" w:hAnsi="Calibri" w:cs="Calibri"/>
                <w:color w:val="000000"/>
                <w:sz w:val="22"/>
                <w:szCs w:val="22"/>
                <w:lang w:eastAsia="ko-KR"/>
              </w:rPr>
            </w:pPr>
          </w:p>
        </w:tc>
        <w:tc>
          <w:tcPr>
            <w:tcW w:w="1172" w:type="dxa"/>
            <w:tcBorders>
              <w:top w:val="nil"/>
              <w:left w:val="nil"/>
              <w:bottom w:val="nil"/>
              <w:right w:val="nil"/>
            </w:tcBorders>
            <w:shd w:val="clear" w:color="auto" w:fill="auto"/>
            <w:noWrap/>
            <w:vAlign w:val="bottom"/>
            <w:hideMark/>
          </w:tcPr>
          <w:p w14:paraId="36CBE1D0"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Famotidine</w:t>
            </w:r>
          </w:p>
        </w:tc>
        <w:tc>
          <w:tcPr>
            <w:tcW w:w="1020" w:type="dxa"/>
            <w:tcBorders>
              <w:top w:val="nil"/>
              <w:left w:val="nil"/>
              <w:bottom w:val="nil"/>
              <w:right w:val="nil"/>
            </w:tcBorders>
            <w:shd w:val="clear" w:color="auto" w:fill="auto"/>
            <w:noWrap/>
            <w:vAlign w:val="bottom"/>
            <w:hideMark/>
          </w:tcPr>
          <w:p w14:paraId="46A2AEC5"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 xml:space="preserve">     33,331 </w:t>
            </w:r>
          </w:p>
        </w:tc>
        <w:tc>
          <w:tcPr>
            <w:tcW w:w="1020" w:type="dxa"/>
            <w:tcBorders>
              <w:top w:val="nil"/>
              <w:left w:val="nil"/>
              <w:bottom w:val="nil"/>
              <w:right w:val="nil"/>
            </w:tcBorders>
            <w:shd w:val="clear" w:color="auto" w:fill="auto"/>
            <w:noWrap/>
            <w:vAlign w:val="bottom"/>
            <w:hideMark/>
          </w:tcPr>
          <w:p w14:paraId="6A179CF9"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 xml:space="preserve">     12,946 </w:t>
            </w:r>
          </w:p>
        </w:tc>
        <w:tc>
          <w:tcPr>
            <w:tcW w:w="960" w:type="dxa"/>
            <w:tcBorders>
              <w:top w:val="nil"/>
              <w:left w:val="nil"/>
              <w:bottom w:val="nil"/>
              <w:right w:val="nil"/>
            </w:tcBorders>
            <w:shd w:val="clear" w:color="auto" w:fill="auto"/>
            <w:noWrap/>
            <w:vAlign w:val="bottom"/>
            <w:hideMark/>
          </w:tcPr>
          <w:p w14:paraId="26EDDB65"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 xml:space="preserve">     1,181 </w:t>
            </w:r>
          </w:p>
        </w:tc>
        <w:tc>
          <w:tcPr>
            <w:tcW w:w="960" w:type="dxa"/>
            <w:tcBorders>
              <w:top w:val="nil"/>
              <w:left w:val="nil"/>
              <w:bottom w:val="nil"/>
              <w:right w:val="nil"/>
            </w:tcBorders>
            <w:shd w:val="clear" w:color="auto" w:fill="auto"/>
            <w:noWrap/>
            <w:vAlign w:val="bottom"/>
            <w:hideMark/>
          </w:tcPr>
          <w:p w14:paraId="0E066A7E"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 xml:space="preserve">     1,733 </w:t>
            </w:r>
          </w:p>
        </w:tc>
        <w:tc>
          <w:tcPr>
            <w:tcW w:w="860" w:type="dxa"/>
            <w:tcBorders>
              <w:top w:val="nil"/>
              <w:left w:val="nil"/>
              <w:bottom w:val="nil"/>
              <w:right w:val="nil"/>
            </w:tcBorders>
            <w:shd w:val="clear" w:color="auto" w:fill="auto"/>
            <w:noWrap/>
            <w:vAlign w:val="bottom"/>
            <w:hideMark/>
          </w:tcPr>
          <w:p w14:paraId="27300B1D"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6.65</w:t>
            </w:r>
          </w:p>
        </w:tc>
        <w:tc>
          <w:tcPr>
            <w:tcW w:w="860" w:type="dxa"/>
            <w:tcBorders>
              <w:top w:val="nil"/>
              <w:left w:val="nil"/>
              <w:bottom w:val="nil"/>
              <w:right w:val="nil"/>
            </w:tcBorders>
            <w:shd w:val="clear" w:color="auto" w:fill="auto"/>
            <w:noWrap/>
            <w:vAlign w:val="bottom"/>
            <w:hideMark/>
          </w:tcPr>
          <w:p w14:paraId="792718DF"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6.46</w:t>
            </w:r>
          </w:p>
        </w:tc>
        <w:tc>
          <w:tcPr>
            <w:tcW w:w="236" w:type="dxa"/>
            <w:tcBorders>
              <w:top w:val="nil"/>
              <w:left w:val="nil"/>
              <w:bottom w:val="nil"/>
              <w:right w:val="nil"/>
            </w:tcBorders>
            <w:shd w:val="clear" w:color="auto" w:fill="auto"/>
            <w:noWrap/>
            <w:vAlign w:val="bottom"/>
            <w:hideMark/>
          </w:tcPr>
          <w:p w14:paraId="6BF20BD6"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1.19</w:t>
            </w:r>
          </w:p>
        </w:tc>
      </w:tr>
      <w:tr w:rsidR="00483888" w:rsidRPr="006111EB" w14:paraId="732799CA" w14:textId="77777777" w:rsidTr="00B746BD">
        <w:trPr>
          <w:trHeight w:val="320"/>
        </w:trPr>
        <w:tc>
          <w:tcPr>
            <w:tcW w:w="1050" w:type="dxa"/>
            <w:vMerge/>
            <w:tcBorders>
              <w:top w:val="nil"/>
              <w:left w:val="nil"/>
              <w:bottom w:val="single" w:sz="4" w:space="0" w:color="000000"/>
              <w:right w:val="nil"/>
            </w:tcBorders>
            <w:vAlign w:val="center"/>
            <w:hideMark/>
          </w:tcPr>
          <w:p w14:paraId="4E2CA01E" w14:textId="77777777" w:rsidR="00483888" w:rsidRPr="006111EB" w:rsidRDefault="00483888" w:rsidP="00483888">
            <w:pPr>
              <w:rPr>
                <w:rFonts w:ascii="Calibri" w:eastAsia="Times New Roman" w:hAnsi="Calibri" w:cs="Calibri"/>
                <w:color w:val="000000"/>
                <w:sz w:val="22"/>
                <w:szCs w:val="22"/>
                <w:lang w:eastAsia="ko-KR"/>
              </w:rPr>
            </w:pPr>
          </w:p>
        </w:tc>
        <w:tc>
          <w:tcPr>
            <w:tcW w:w="1172" w:type="dxa"/>
            <w:tcBorders>
              <w:top w:val="nil"/>
              <w:left w:val="nil"/>
              <w:bottom w:val="nil"/>
              <w:right w:val="nil"/>
            </w:tcBorders>
            <w:shd w:val="clear" w:color="auto" w:fill="auto"/>
            <w:noWrap/>
            <w:vAlign w:val="bottom"/>
            <w:hideMark/>
          </w:tcPr>
          <w:p w14:paraId="21076E2D"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Roxatidine</w:t>
            </w:r>
          </w:p>
        </w:tc>
        <w:tc>
          <w:tcPr>
            <w:tcW w:w="1020" w:type="dxa"/>
            <w:tcBorders>
              <w:top w:val="nil"/>
              <w:left w:val="nil"/>
              <w:bottom w:val="nil"/>
              <w:right w:val="nil"/>
            </w:tcBorders>
            <w:shd w:val="clear" w:color="auto" w:fill="auto"/>
            <w:noWrap/>
            <w:vAlign w:val="bottom"/>
            <w:hideMark/>
          </w:tcPr>
          <w:p w14:paraId="351A6E91"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 xml:space="preserve">     33,809 </w:t>
            </w:r>
          </w:p>
        </w:tc>
        <w:tc>
          <w:tcPr>
            <w:tcW w:w="1020" w:type="dxa"/>
            <w:tcBorders>
              <w:top w:val="nil"/>
              <w:left w:val="nil"/>
              <w:bottom w:val="nil"/>
              <w:right w:val="nil"/>
            </w:tcBorders>
            <w:shd w:val="clear" w:color="auto" w:fill="auto"/>
            <w:noWrap/>
            <w:vAlign w:val="bottom"/>
            <w:hideMark/>
          </w:tcPr>
          <w:p w14:paraId="52108FAF"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 xml:space="preserve">      1,882 </w:t>
            </w:r>
          </w:p>
        </w:tc>
        <w:tc>
          <w:tcPr>
            <w:tcW w:w="960" w:type="dxa"/>
            <w:tcBorders>
              <w:top w:val="nil"/>
              <w:left w:val="nil"/>
              <w:bottom w:val="nil"/>
              <w:right w:val="nil"/>
            </w:tcBorders>
            <w:shd w:val="clear" w:color="auto" w:fill="auto"/>
            <w:noWrap/>
            <w:vAlign w:val="bottom"/>
            <w:hideMark/>
          </w:tcPr>
          <w:p w14:paraId="606512B3"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 xml:space="preserve">     1,177 </w:t>
            </w:r>
          </w:p>
        </w:tc>
        <w:tc>
          <w:tcPr>
            <w:tcW w:w="960" w:type="dxa"/>
            <w:tcBorders>
              <w:top w:val="nil"/>
              <w:left w:val="nil"/>
              <w:bottom w:val="nil"/>
              <w:right w:val="nil"/>
            </w:tcBorders>
            <w:shd w:val="clear" w:color="auto" w:fill="auto"/>
            <w:noWrap/>
            <w:vAlign w:val="bottom"/>
            <w:hideMark/>
          </w:tcPr>
          <w:p w14:paraId="208B4CF9"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 xml:space="preserve">     1,207 </w:t>
            </w:r>
          </w:p>
        </w:tc>
        <w:tc>
          <w:tcPr>
            <w:tcW w:w="860" w:type="dxa"/>
            <w:tcBorders>
              <w:top w:val="nil"/>
              <w:left w:val="nil"/>
              <w:bottom w:val="nil"/>
              <w:right w:val="nil"/>
            </w:tcBorders>
            <w:shd w:val="clear" w:color="auto" w:fill="auto"/>
            <w:noWrap/>
            <w:vAlign w:val="bottom"/>
            <w:hideMark/>
          </w:tcPr>
          <w:p w14:paraId="1B14AE2C"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6.68</w:t>
            </w:r>
          </w:p>
        </w:tc>
        <w:tc>
          <w:tcPr>
            <w:tcW w:w="860" w:type="dxa"/>
            <w:tcBorders>
              <w:top w:val="nil"/>
              <w:left w:val="nil"/>
              <w:bottom w:val="nil"/>
              <w:right w:val="nil"/>
            </w:tcBorders>
            <w:shd w:val="clear" w:color="auto" w:fill="auto"/>
            <w:noWrap/>
            <w:vAlign w:val="bottom"/>
            <w:hideMark/>
          </w:tcPr>
          <w:p w14:paraId="036A8CEE"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5.94</w:t>
            </w:r>
          </w:p>
        </w:tc>
        <w:tc>
          <w:tcPr>
            <w:tcW w:w="236" w:type="dxa"/>
            <w:tcBorders>
              <w:top w:val="nil"/>
              <w:left w:val="nil"/>
              <w:bottom w:val="nil"/>
              <w:right w:val="nil"/>
            </w:tcBorders>
            <w:shd w:val="clear" w:color="auto" w:fill="auto"/>
            <w:noWrap/>
            <w:vAlign w:val="bottom"/>
            <w:hideMark/>
          </w:tcPr>
          <w:p w14:paraId="29AD29C1"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1.51</w:t>
            </w:r>
          </w:p>
        </w:tc>
      </w:tr>
      <w:tr w:rsidR="00483888" w:rsidRPr="006111EB" w14:paraId="30B1FA39" w14:textId="77777777" w:rsidTr="00B746BD">
        <w:trPr>
          <w:trHeight w:val="320"/>
        </w:trPr>
        <w:tc>
          <w:tcPr>
            <w:tcW w:w="1050" w:type="dxa"/>
            <w:vMerge/>
            <w:tcBorders>
              <w:top w:val="nil"/>
              <w:left w:val="nil"/>
              <w:bottom w:val="single" w:sz="4" w:space="0" w:color="000000"/>
              <w:right w:val="nil"/>
            </w:tcBorders>
            <w:vAlign w:val="center"/>
            <w:hideMark/>
          </w:tcPr>
          <w:p w14:paraId="5143E1ED" w14:textId="77777777" w:rsidR="00483888" w:rsidRPr="006111EB" w:rsidRDefault="00483888" w:rsidP="00483888">
            <w:pPr>
              <w:rPr>
                <w:rFonts w:ascii="Calibri" w:eastAsia="Times New Roman" w:hAnsi="Calibri" w:cs="Calibri"/>
                <w:color w:val="000000"/>
                <w:sz w:val="22"/>
                <w:szCs w:val="22"/>
                <w:lang w:eastAsia="ko-KR"/>
              </w:rPr>
            </w:pPr>
          </w:p>
        </w:tc>
        <w:tc>
          <w:tcPr>
            <w:tcW w:w="1172" w:type="dxa"/>
            <w:tcBorders>
              <w:top w:val="nil"/>
              <w:left w:val="nil"/>
              <w:bottom w:val="single" w:sz="4" w:space="0" w:color="auto"/>
              <w:right w:val="nil"/>
            </w:tcBorders>
            <w:shd w:val="clear" w:color="auto" w:fill="auto"/>
            <w:noWrap/>
            <w:vAlign w:val="bottom"/>
            <w:hideMark/>
          </w:tcPr>
          <w:p w14:paraId="343F3191"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Nizatidine</w:t>
            </w:r>
          </w:p>
        </w:tc>
        <w:tc>
          <w:tcPr>
            <w:tcW w:w="1020" w:type="dxa"/>
            <w:tcBorders>
              <w:top w:val="nil"/>
              <w:left w:val="nil"/>
              <w:bottom w:val="single" w:sz="4" w:space="0" w:color="auto"/>
              <w:right w:val="nil"/>
            </w:tcBorders>
            <w:shd w:val="clear" w:color="auto" w:fill="auto"/>
            <w:noWrap/>
            <w:vAlign w:val="bottom"/>
            <w:hideMark/>
          </w:tcPr>
          <w:p w14:paraId="775D53CD"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 xml:space="preserve">     33,612 </w:t>
            </w:r>
          </w:p>
        </w:tc>
        <w:tc>
          <w:tcPr>
            <w:tcW w:w="1020" w:type="dxa"/>
            <w:tcBorders>
              <w:top w:val="nil"/>
              <w:left w:val="nil"/>
              <w:bottom w:val="single" w:sz="4" w:space="0" w:color="auto"/>
              <w:right w:val="nil"/>
            </w:tcBorders>
            <w:shd w:val="clear" w:color="auto" w:fill="auto"/>
            <w:noWrap/>
            <w:vAlign w:val="bottom"/>
            <w:hideMark/>
          </w:tcPr>
          <w:p w14:paraId="5264CE4A"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 xml:space="preserve">      8,431 </w:t>
            </w:r>
          </w:p>
        </w:tc>
        <w:tc>
          <w:tcPr>
            <w:tcW w:w="960" w:type="dxa"/>
            <w:tcBorders>
              <w:top w:val="nil"/>
              <w:left w:val="nil"/>
              <w:bottom w:val="single" w:sz="4" w:space="0" w:color="auto"/>
              <w:right w:val="nil"/>
            </w:tcBorders>
            <w:shd w:val="clear" w:color="auto" w:fill="auto"/>
            <w:noWrap/>
            <w:vAlign w:val="bottom"/>
            <w:hideMark/>
          </w:tcPr>
          <w:p w14:paraId="004ADF9A"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 xml:space="preserve">     1,181 </w:t>
            </w:r>
          </w:p>
        </w:tc>
        <w:tc>
          <w:tcPr>
            <w:tcW w:w="960" w:type="dxa"/>
            <w:tcBorders>
              <w:top w:val="nil"/>
              <w:left w:val="nil"/>
              <w:bottom w:val="single" w:sz="4" w:space="0" w:color="auto"/>
              <w:right w:val="nil"/>
            </w:tcBorders>
            <w:shd w:val="clear" w:color="auto" w:fill="auto"/>
            <w:noWrap/>
            <w:vAlign w:val="bottom"/>
            <w:hideMark/>
          </w:tcPr>
          <w:p w14:paraId="5370CDF1"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 xml:space="preserve">     1,238 </w:t>
            </w:r>
          </w:p>
        </w:tc>
        <w:tc>
          <w:tcPr>
            <w:tcW w:w="860" w:type="dxa"/>
            <w:tcBorders>
              <w:top w:val="nil"/>
              <w:left w:val="nil"/>
              <w:bottom w:val="single" w:sz="4" w:space="0" w:color="auto"/>
              <w:right w:val="nil"/>
            </w:tcBorders>
            <w:shd w:val="clear" w:color="auto" w:fill="auto"/>
            <w:noWrap/>
            <w:vAlign w:val="bottom"/>
            <w:hideMark/>
          </w:tcPr>
          <w:p w14:paraId="29997CD5"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6.65</w:t>
            </w:r>
          </w:p>
        </w:tc>
        <w:tc>
          <w:tcPr>
            <w:tcW w:w="860" w:type="dxa"/>
            <w:tcBorders>
              <w:top w:val="nil"/>
              <w:left w:val="nil"/>
              <w:bottom w:val="single" w:sz="4" w:space="0" w:color="auto"/>
              <w:right w:val="nil"/>
            </w:tcBorders>
            <w:shd w:val="clear" w:color="auto" w:fill="auto"/>
            <w:noWrap/>
            <w:vAlign w:val="bottom"/>
            <w:hideMark/>
          </w:tcPr>
          <w:p w14:paraId="0056B6EC"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7.11</w:t>
            </w:r>
          </w:p>
        </w:tc>
        <w:tc>
          <w:tcPr>
            <w:tcW w:w="236" w:type="dxa"/>
            <w:tcBorders>
              <w:top w:val="nil"/>
              <w:left w:val="nil"/>
              <w:bottom w:val="single" w:sz="4" w:space="0" w:color="auto"/>
              <w:right w:val="nil"/>
            </w:tcBorders>
            <w:shd w:val="clear" w:color="auto" w:fill="auto"/>
            <w:noWrap/>
            <w:vAlign w:val="bottom"/>
            <w:hideMark/>
          </w:tcPr>
          <w:p w14:paraId="19B43069"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1.24</w:t>
            </w:r>
          </w:p>
        </w:tc>
      </w:tr>
      <w:tr w:rsidR="00483888" w:rsidRPr="006111EB" w14:paraId="3A71FED7" w14:textId="77777777" w:rsidTr="00B746BD">
        <w:trPr>
          <w:trHeight w:val="320"/>
        </w:trPr>
        <w:tc>
          <w:tcPr>
            <w:tcW w:w="1050" w:type="dxa"/>
            <w:vMerge w:val="restart"/>
            <w:tcBorders>
              <w:top w:val="nil"/>
              <w:left w:val="nil"/>
              <w:bottom w:val="single" w:sz="4" w:space="0" w:color="000000"/>
              <w:right w:val="nil"/>
            </w:tcBorders>
            <w:shd w:val="clear" w:color="auto" w:fill="auto"/>
            <w:noWrap/>
            <w:vAlign w:val="center"/>
            <w:hideMark/>
          </w:tcPr>
          <w:p w14:paraId="36D928E4" w14:textId="77777777" w:rsidR="00483888" w:rsidRPr="006111EB" w:rsidRDefault="00483888" w:rsidP="00483888">
            <w:pPr>
              <w:jc w:val="cente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Nizatidine</w:t>
            </w:r>
          </w:p>
        </w:tc>
        <w:tc>
          <w:tcPr>
            <w:tcW w:w="1172" w:type="dxa"/>
            <w:tcBorders>
              <w:top w:val="nil"/>
              <w:left w:val="nil"/>
              <w:bottom w:val="nil"/>
              <w:right w:val="nil"/>
            </w:tcBorders>
            <w:shd w:val="clear" w:color="auto" w:fill="auto"/>
            <w:noWrap/>
            <w:vAlign w:val="bottom"/>
            <w:hideMark/>
          </w:tcPr>
          <w:p w14:paraId="44028A1F"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Cimetidine</w:t>
            </w:r>
          </w:p>
        </w:tc>
        <w:tc>
          <w:tcPr>
            <w:tcW w:w="1020" w:type="dxa"/>
            <w:tcBorders>
              <w:top w:val="nil"/>
              <w:left w:val="nil"/>
              <w:bottom w:val="nil"/>
              <w:right w:val="nil"/>
            </w:tcBorders>
            <w:shd w:val="clear" w:color="auto" w:fill="auto"/>
            <w:noWrap/>
            <w:vAlign w:val="bottom"/>
            <w:hideMark/>
          </w:tcPr>
          <w:p w14:paraId="30799231"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 xml:space="preserve">      7,761 </w:t>
            </w:r>
          </w:p>
        </w:tc>
        <w:tc>
          <w:tcPr>
            <w:tcW w:w="1020" w:type="dxa"/>
            <w:tcBorders>
              <w:top w:val="nil"/>
              <w:left w:val="nil"/>
              <w:bottom w:val="nil"/>
              <w:right w:val="nil"/>
            </w:tcBorders>
            <w:shd w:val="clear" w:color="auto" w:fill="auto"/>
            <w:noWrap/>
            <w:vAlign w:val="bottom"/>
            <w:hideMark/>
          </w:tcPr>
          <w:p w14:paraId="42EA2DDA"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 xml:space="preserve">   126,318 </w:t>
            </w:r>
          </w:p>
        </w:tc>
        <w:tc>
          <w:tcPr>
            <w:tcW w:w="960" w:type="dxa"/>
            <w:tcBorders>
              <w:top w:val="nil"/>
              <w:left w:val="nil"/>
              <w:bottom w:val="nil"/>
              <w:right w:val="nil"/>
            </w:tcBorders>
            <w:shd w:val="clear" w:color="auto" w:fill="auto"/>
            <w:noWrap/>
            <w:vAlign w:val="bottom"/>
            <w:hideMark/>
          </w:tcPr>
          <w:p w14:paraId="2CEDEC0C"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 xml:space="preserve">     1,284 </w:t>
            </w:r>
          </w:p>
        </w:tc>
        <w:tc>
          <w:tcPr>
            <w:tcW w:w="960" w:type="dxa"/>
            <w:tcBorders>
              <w:top w:val="nil"/>
              <w:left w:val="nil"/>
              <w:bottom w:val="nil"/>
              <w:right w:val="nil"/>
            </w:tcBorders>
            <w:shd w:val="clear" w:color="auto" w:fill="auto"/>
            <w:noWrap/>
            <w:vAlign w:val="bottom"/>
            <w:hideMark/>
          </w:tcPr>
          <w:p w14:paraId="3E8558C2"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 xml:space="preserve">     1,912 </w:t>
            </w:r>
          </w:p>
        </w:tc>
        <w:tc>
          <w:tcPr>
            <w:tcW w:w="860" w:type="dxa"/>
            <w:tcBorders>
              <w:top w:val="nil"/>
              <w:left w:val="nil"/>
              <w:bottom w:val="nil"/>
              <w:right w:val="nil"/>
            </w:tcBorders>
            <w:shd w:val="clear" w:color="auto" w:fill="auto"/>
            <w:noWrap/>
            <w:vAlign w:val="bottom"/>
            <w:hideMark/>
          </w:tcPr>
          <w:p w14:paraId="1CAAE07F"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6.95</w:t>
            </w:r>
          </w:p>
        </w:tc>
        <w:tc>
          <w:tcPr>
            <w:tcW w:w="860" w:type="dxa"/>
            <w:tcBorders>
              <w:top w:val="nil"/>
              <w:left w:val="nil"/>
              <w:bottom w:val="nil"/>
              <w:right w:val="nil"/>
            </w:tcBorders>
            <w:shd w:val="clear" w:color="auto" w:fill="auto"/>
            <w:noWrap/>
            <w:vAlign w:val="bottom"/>
            <w:hideMark/>
          </w:tcPr>
          <w:p w14:paraId="62732FB1"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5.39</w:t>
            </w:r>
          </w:p>
        </w:tc>
        <w:tc>
          <w:tcPr>
            <w:tcW w:w="236" w:type="dxa"/>
            <w:tcBorders>
              <w:top w:val="nil"/>
              <w:left w:val="nil"/>
              <w:bottom w:val="nil"/>
              <w:right w:val="nil"/>
            </w:tcBorders>
            <w:shd w:val="clear" w:color="auto" w:fill="auto"/>
            <w:noWrap/>
            <w:vAlign w:val="bottom"/>
            <w:hideMark/>
          </w:tcPr>
          <w:p w14:paraId="77F9850B"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1.22</w:t>
            </w:r>
          </w:p>
        </w:tc>
      </w:tr>
      <w:tr w:rsidR="00483888" w:rsidRPr="006111EB" w14:paraId="68B88412" w14:textId="77777777" w:rsidTr="00B746BD">
        <w:trPr>
          <w:trHeight w:val="320"/>
        </w:trPr>
        <w:tc>
          <w:tcPr>
            <w:tcW w:w="1050" w:type="dxa"/>
            <w:vMerge/>
            <w:tcBorders>
              <w:top w:val="nil"/>
              <w:left w:val="nil"/>
              <w:bottom w:val="single" w:sz="4" w:space="0" w:color="000000"/>
              <w:right w:val="nil"/>
            </w:tcBorders>
            <w:vAlign w:val="center"/>
            <w:hideMark/>
          </w:tcPr>
          <w:p w14:paraId="424A6415" w14:textId="77777777" w:rsidR="00483888" w:rsidRPr="006111EB" w:rsidRDefault="00483888" w:rsidP="00483888">
            <w:pPr>
              <w:rPr>
                <w:rFonts w:ascii="Calibri" w:eastAsia="Times New Roman" w:hAnsi="Calibri" w:cs="Calibri"/>
                <w:color w:val="000000"/>
                <w:sz w:val="22"/>
                <w:szCs w:val="22"/>
                <w:lang w:eastAsia="ko-KR"/>
              </w:rPr>
            </w:pPr>
          </w:p>
        </w:tc>
        <w:tc>
          <w:tcPr>
            <w:tcW w:w="1172" w:type="dxa"/>
            <w:tcBorders>
              <w:top w:val="nil"/>
              <w:left w:val="nil"/>
              <w:bottom w:val="nil"/>
              <w:right w:val="nil"/>
            </w:tcBorders>
            <w:shd w:val="clear" w:color="auto" w:fill="auto"/>
            <w:noWrap/>
            <w:vAlign w:val="bottom"/>
            <w:hideMark/>
          </w:tcPr>
          <w:p w14:paraId="3AEE5BA3"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Famotidine</w:t>
            </w:r>
          </w:p>
        </w:tc>
        <w:tc>
          <w:tcPr>
            <w:tcW w:w="1020" w:type="dxa"/>
            <w:tcBorders>
              <w:top w:val="nil"/>
              <w:left w:val="nil"/>
              <w:bottom w:val="nil"/>
              <w:right w:val="nil"/>
            </w:tcBorders>
            <w:shd w:val="clear" w:color="auto" w:fill="auto"/>
            <w:noWrap/>
            <w:vAlign w:val="bottom"/>
            <w:hideMark/>
          </w:tcPr>
          <w:p w14:paraId="653E462B"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 xml:space="preserve">      8,635 </w:t>
            </w:r>
          </w:p>
        </w:tc>
        <w:tc>
          <w:tcPr>
            <w:tcW w:w="1020" w:type="dxa"/>
            <w:tcBorders>
              <w:top w:val="nil"/>
              <w:left w:val="nil"/>
              <w:bottom w:val="nil"/>
              <w:right w:val="nil"/>
            </w:tcBorders>
            <w:shd w:val="clear" w:color="auto" w:fill="auto"/>
            <w:noWrap/>
            <w:vAlign w:val="bottom"/>
            <w:hideMark/>
          </w:tcPr>
          <w:p w14:paraId="2116C42D"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 xml:space="preserve">     13,224 </w:t>
            </w:r>
          </w:p>
        </w:tc>
        <w:tc>
          <w:tcPr>
            <w:tcW w:w="960" w:type="dxa"/>
            <w:tcBorders>
              <w:top w:val="nil"/>
              <w:left w:val="nil"/>
              <w:bottom w:val="nil"/>
              <w:right w:val="nil"/>
            </w:tcBorders>
            <w:shd w:val="clear" w:color="auto" w:fill="auto"/>
            <w:noWrap/>
            <w:vAlign w:val="bottom"/>
            <w:hideMark/>
          </w:tcPr>
          <w:p w14:paraId="0170C30D"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 xml:space="preserve">     1,229 </w:t>
            </w:r>
          </w:p>
        </w:tc>
        <w:tc>
          <w:tcPr>
            <w:tcW w:w="960" w:type="dxa"/>
            <w:tcBorders>
              <w:top w:val="nil"/>
              <w:left w:val="nil"/>
              <w:bottom w:val="nil"/>
              <w:right w:val="nil"/>
            </w:tcBorders>
            <w:shd w:val="clear" w:color="auto" w:fill="auto"/>
            <w:noWrap/>
            <w:vAlign w:val="bottom"/>
            <w:hideMark/>
          </w:tcPr>
          <w:p w14:paraId="5DF76EE3"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 xml:space="preserve">     1,715 </w:t>
            </w:r>
          </w:p>
        </w:tc>
        <w:tc>
          <w:tcPr>
            <w:tcW w:w="860" w:type="dxa"/>
            <w:tcBorders>
              <w:top w:val="nil"/>
              <w:left w:val="nil"/>
              <w:bottom w:val="nil"/>
              <w:right w:val="nil"/>
            </w:tcBorders>
            <w:shd w:val="clear" w:color="auto" w:fill="auto"/>
            <w:noWrap/>
            <w:vAlign w:val="bottom"/>
            <w:hideMark/>
          </w:tcPr>
          <w:p w14:paraId="7865D7E6"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7.13</w:t>
            </w:r>
          </w:p>
        </w:tc>
        <w:tc>
          <w:tcPr>
            <w:tcW w:w="860" w:type="dxa"/>
            <w:tcBorders>
              <w:top w:val="nil"/>
              <w:left w:val="nil"/>
              <w:bottom w:val="nil"/>
              <w:right w:val="nil"/>
            </w:tcBorders>
            <w:shd w:val="clear" w:color="auto" w:fill="auto"/>
            <w:noWrap/>
            <w:vAlign w:val="bottom"/>
            <w:hideMark/>
          </w:tcPr>
          <w:p w14:paraId="76188B43"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6.56</w:t>
            </w:r>
          </w:p>
        </w:tc>
        <w:tc>
          <w:tcPr>
            <w:tcW w:w="236" w:type="dxa"/>
            <w:tcBorders>
              <w:top w:val="nil"/>
              <w:left w:val="nil"/>
              <w:bottom w:val="nil"/>
              <w:right w:val="nil"/>
            </w:tcBorders>
            <w:shd w:val="clear" w:color="auto" w:fill="auto"/>
            <w:noWrap/>
            <w:vAlign w:val="bottom"/>
            <w:hideMark/>
          </w:tcPr>
          <w:p w14:paraId="26A37B28"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1.25</w:t>
            </w:r>
          </w:p>
        </w:tc>
      </w:tr>
      <w:tr w:rsidR="00483888" w:rsidRPr="006111EB" w14:paraId="7848F7CF" w14:textId="77777777" w:rsidTr="00B746BD">
        <w:trPr>
          <w:trHeight w:val="320"/>
        </w:trPr>
        <w:tc>
          <w:tcPr>
            <w:tcW w:w="1050" w:type="dxa"/>
            <w:vMerge/>
            <w:tcBorders>
              <w:top w:val="nil"/>
              <w:left w:val="nil"/>
              <w:bottom w:val="single" w:sz="4" w:space="0" w:color="000000"/>
              <w:right w:val="nil"/>
            </w:tcBorders>
            <w:vAlign w:val="center"/>
            <w:hideMark/>
          </w:tcPr>
          <w:p w14:paraId="09AF9EE1" w14:textId="77777777" w:rsidR="00483888" w:rsidRPr="006111EB" w:rsidRDefault="00483888" w:rsidP="00483888">
            <w:pPr>
              <w:rPr>
                <w:rFonts w:ascii="Calibri" w:eastAsia="Times New Roman" w:hAnsi="Calibri" w:cs="Calibri"/>
                <w:color w:val="000000"/>
                <w:sz w:val="22"/>
                <w:szCs w:val="22"/>
                <w:lang w:eastAsia="ko-KR"/>
              </w:rPr>
            </w:pPr>
          </w:p>
        </w:tc>
        <w:tc>
          <w:tcPr>
            <w:tcW w:w="1172" w:type="dxa"/>
            <w:tcBorders>
              <w:top w:val="nil"/>
              <w:left w:val="nil"/>
              <w:bottom w:val="nil"/>
              <w:right w:val="nil"/>
            </w:tcBorders>
            <w:shd w:val="clear" w:color="auto" w:fill="auto"/>
            <w:noWrap/>
            <w:vAlign w:val="bottom"/>
            <w:hideMark/>
          </w:tcPr>
          <w:p w14:paraId="316EC647"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Roxatidine</w:t>
            </w:r>
          </w:p>
        </w:tc>
        <w:tc>
          <w:tcPr>
            <w:tcW w:w="1020" w:type="dxa"/>
            <w:tcBorders>
              <w:top w:val="nil"/>
              <w:left w:val="nil"/>
              <w:bottom w:val="nil"/>
              <w:right w:val="nil"/>
            </w:tcBorders>
            <w:shd w:val="clear" w:color="auto" w:fill="auto"/>
            <w:noWrap/>
            <w:vAlign w:val="bottom"/>
            <w:hideMark/>
          </w:tcPr>
          <w:p w14:paraId="01B94F8A"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 xml:space="preserve">      8,746 </w:t>
            </w:r>
          </w:p>
        </w:tc>
        <w:tc>
          <w:tcPr>
            <w:tcW w:w="1020" w:type="dxa"/>
            <w:tcBorders>
              <w:top w:val="nil"/>
              <w:left w:val="nil"/>
              <w:bottom w:val="nil"/>
              <w:right w:val="nil"/>
            </w:tcBorders>
            <w:shd w:val="clear" w:color="auto" w:fill="auto"/>
            <w:noWrap/>
            <w:vAlign w:val="bottom"/>
            <w:hideMark/>
          </w:tcPr>
          <w:p w14:paraId="3D2D0805"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 xml:space="preserve">      1,935 </w:t>
            </w:r>
          </w:p>
        </w:tc>
        <w:tc>
          <w:tcPr>
            <w:tcW w:w="960" w:type="dxa"/>
            <w:tcBorders>
              <w:top w:val="nil"/>
              <w:left w:val="nil"/>
              <w:bottom w:val="nil"/>
              <w:right w:val="nil"/>
            </w:tcBorders>
            <w:shd w:val="clear" w:color="auto" w:fill="auto"/>
            <w:noWrap/>
            <w:vAlign w:val="bottom"/>
            <w:hideMark/>
          </w:tcPr>
          <w:p w14:paraId="03998C14"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 xml:space="preserve">     1,218 </w:t>
            </w:r>
          </w:p>
        </w:tc>
        <w:tc>
          <w:tcPr>
            <w:tcW w:w="960" w:type="dxa"/>
            <w:tcBorders>
              <w:top w:val="nil"/>
              <w:left w:val="nil"/>
              <w:bottom w:val="nil"/>
              <w:right w:val="nil"/>
            </w:tcBorders>
            <w:shd w:val="clear" w:color="auto" w:fill="auto"/>
            <w:noWrap/>
            <w:vAlign w:val="bottom"/>
            <w:hideMark/>
          </w:tcPr>
          <w:p w14:paraId="349F80BB"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 xml:space="preserve">     1,189 </w:t>
            </w:r>
          </w:p>
        </w:tc>
        <w:tc>
          <w:tcPr>
            <w:tcW w:w="860" w:type="dxa"/>
            <w:tcBorders>
              <w:top w:val="nil"/>
              <w:left w:val="nil"/>
              <w:bottom w:val="nil"/>
              <w:right w:val="nil"/>
            </w:tcBorders>
            <w:shd w:val="clear" w:color="auto" w:fill="auto"/>
            <w:noWrap/>
            <w:vAlign w:val="bottom"/>
            <w:hideMark/>
          </w:tcPr>
          <w:p w14:paraId="661A58E1"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7.25</w:t>
            </w:r>
          </w:p>
        </w:tc>
        <w:tc>
          <w:tcPr>
            <w:tcW w:w="860" w:type="dxa"/>
            <w:tcBorders>
              <w:top w:val="nil"/>
              <w:left w:val="nil"/>
              <w:bottom w:val="nil"/>
              <w:right w:val="nil"/>
            </w:tcBorders>
            <w:shd w:val="clear" w:color="auto" w:fill="auto"/>
            <w:noWrap/>
            <w:vAlign w:val="bottom"/>
            <w:hideMark/>
          </w:tcPr>
          <w:p w14:paraId="1BD08C81"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5.95</w:t>
            </w:r>
          </w:p>
        </w:tc>
        <w:tc>
          <w:tcPr>
            <w:tcW w:w="236" w:type="dxa"/>
            <w:tcBorders>
              <w:top w:val="nil"/>
              <w:left w:val="nil"/>
              <w:bottom w:val="nil"/>
              <w:right w:val="nil"/>
            </w:tcBorders>
            <w:shd w:val="clear" w:color="auto" w:fill="auto"/>
            <w:noWrap/>
            <w:vAlign w:val="bottom"/>
            <w:hideMark/>
          </w:tcPr>
          <w:p w14:paraId="2AAADF65"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1.53</w:t>
            </w:r>
          </w:p>
        </w:tc>
      </w:tr>
      <w:tr w:rsidR="00483888" w:rsidRPr="006111EB" w14:paraId="43E297FC" w14:textId="77777777" w:rsidTr="00B746BD">
        <w:trPr>
          <w:trHeight w:val="320"/>
        </w:trPr>
        <w:tc>
          <w:tcPr>
            <w:tcW w:w="1050" w:type="dxa"/>
            <w:vMerge/>
            <w:tcBorders>
              <w:top w:val="nil"/>
              <w:left w:val="nil"/>
              <w:bottom w:val="single" w:sz="4" w:space="0" w:color="000000"/>
              <w:right w:val="nil"/>
            </w:tcBorders>
            <w:vAlign w:val="center"/>
            <w:hideMark/>
          </w:tcPr>
          <w:p w14:paraId="2257C367" w14:textId="77777777" w:rsidR="00483888" w:rsidRPr="006111EB" w:rsidRDefault="00483888" w:rsidP="00483888">
            <w:pPr>
              <w:rPr>
                <w:rFonts w:ascii="Calibri" w:eastAsia="Times New Roman" w:hAnsi="Calibri" w:cs="Calibri"/>
                <w:color w:val="000000"/>
                <w:sz w:val="22"/>
                <w:szCs w:val="22"/>
                <w:lang w:eastAsia="ko-KR"/>
              </w:rPr>
            </w:pPr>
          </w:p>
        </w:tc>
        <w:tc>
          <w:tcPr>
            <w:tcW w:w="1172" w:type="dxa"/>
            <w:tcBorders>
              <w:top w:val="nil"/>
              <w:left w:val="nil"/>
              <w:bottom w:val="single" w:sz="4" w:space="0" w:color="auto"/>
              <w:right w:val="nil"/>
            </w:tcBorders>
            <w:shd w:val="clear" w:color="auto" w:fill="auto"/>
            <w:noWrap/>
            <w:vAlign w:val="bottom"/>
            <w:hideMark/>
          </w:tcPr>
          <w:p w14:paraId="1BEFFBFF"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Ranitidine</w:t>
            </w:r>
          </w:p>
        </w:tc>
        <w:tc>
          <w:tcPr>
            <w:tcW w:w="1020" w:type="dxa"/>
            <w:tcBorders>
              <w:top w:val="nil"/>
              <w:left w:val="nil"/>
              <w:bottom w:val="single" w:sz="4" w:space="0" w:color="auto"/>
              <w:right w:val="nil"/>
            </w:tcBorders>
            <w:shd w:val="clear" w:color="auto" w:fill="auto"/>
            <w:noWrap/>
            <w:vAlign w:val="bottom"/>
            <w:hideMark/>
          </w:tcPr>
          <w:p w14:paraId="60A3143E"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 xml:space="preserve">      8,431 </w:t>
            </w:r>
          </w:p>
        </w:tc>
        <w:tc>
          <w:tcPr>
            <w:tcW w:w="1020" w:type="dxa"/>
            <w:tcBorders>
              <w:top w:val="nil"/>
              <w:left w:val="nil"/>
              <w:bottom w:val="single" w:sz="4" w:space="0" w:color="auto"/>
              <w:right w:val="nil"/>
            </w:tcBorders>
            <w:shd w:val="clear" w:color="auto" w:fill="auto"/>
            <w:noWrap/>
            <w:vAlign w:val="bottom"/>
            <w:hideMark/>
          </w:tcPr>
          <w:p w14:paraId="6B4C679C"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 xml:space="preserve">     33,612 </w:t>
            </w:r>
          </w:p>
        </w:tc>
        <w:tc>
          <w:tcPr>
            <w:tcW w:w="960" w:type="dxa"/>
            <w:tcBorders>
              <w:top w:val="nil"/>
              <w:left w:val="nil"/>
              <w:bottom w:val="single" w:sz="4" w:space="0" w:color="auto"/>
              <w:right w:val="nil"/>
            </w:tcBorders>
            <w:shd w:val="clear" w:color="auto" w:fill="auto"/>
            <w:noWrap/>
            <w:vAlign w:val="bottom"/>
            <w:hideMark/>
          </w:tcPr>
          <w:p w14:paraId="6D2FCABF"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 xml:space="preserve">     1,238 </w:t>
            </w:r>
          </w:p>
        </w:tc>
        <w:tc>
          <w:tcPr>
            <w:tcW w:w="960" w:type="dxa"/>
            <w:tcBorders>
              <w:top w:val="nil"/>
              <w:left w:val="nil"/>
              <w:bottom w:val="single" w:sz="4" w:space="0" w:color="auto"/>
              <w:right w:val="nil"/>
            </w:tcBorders>
            <w:shd w:val="clear" w:color="auto" w:fill="auto"/>
            <w:noWrap/>
            <w:vAlign w:val="bottom"/>
            <w:hideMark/>
          </w:tcPr>
          <w:p w14:paraId="5D8203FC" w14:textId="77777777" w:rsidR="00483888" w:rsidRPr="006111EB" w:rsidRDefault="00483888" w:rsidP="00483888">
            <w:pPr>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 xml:space="preserve">     1,181 </w:t>
            </w:r>
          </w:p>
        </w:tc>
        <w:tc>
          <w:tcPr>
            <w:tcW w:w="860" w:type="dxa"/>
            <w:tcBorders>
              <w:top w:val="nil"/>
              <w:left w:val="nil"/>
              <w:bottom w:val="single" w:sz="4" w:space="0" w:color="auto"/>
              <w:right w:val="nil"/>
            </w:tcBorders>
            <w:shd w:val="clear" w:color="auto" w:fill="auto"/>
            <w:noWrap/>
            <w:vAlign w:val="bottom"/>
            <w:hideMark/>
          </w:tcPr>
          <w:p w14:paraId="5FDFCB76"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7.11</w:t>
            </w:r>
          </w:p>
        </w:tc>
        <w:tc>
          <w:tcPr>
            <w:tcW w:w="860" w:type="dxa"/>
            <w:tcBorders>
              <w:top w:val="nil"/>
              <w:left w:val="nil"/>
              <w:bottom w:val="single" w:sz="4" w:space="0" w:color="auto"/>
              <w:right w:val="nil"/>
            </w:tcBorders>
            <w:shd w:val="clear" w:color="auto" w:fill="auto"/>
            <w:noWrap/>
            <w:vAlign w:val="bottom"/>
            <w:hideMark/>
          </w:tcPr>
          <w:p w14:paraId="278D63CE"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Times New Roman" w:hAnsi="Calibri" w:cs="Calibri"/>
                <w:color w:val="000000"/>
                <w:sz w:val="22"/>
                <w:szCs w:val="22"/>
                <w:lang w:eastAsia="ko-KR"/>
              </w:rPr>
              <w:t>6.65</w:t>
            </w:r>
          </w:p>
        </w:tc>
        <w:tc>
          <w:tcPr>
            <w:tcW w:w="236" w:type="dxa"/>
            <w:tcBorders>
              <w:top w:val="nil"/>
              <w:left w:val="nil"/>
              <w:bottom w:val="single" w:sz="4" w:space="0" w:color="auto"/>
              <w:right w:val="nil"/>
            </w:tcBorders>
            <w:shd w:val="clear" w:color="auto" w:fill="auto"/>
            <w:noWrap/>
            <w:vAlign w:val="bottom"/>
            <w:hideMark/>
          </w:tcPr>
          <w:p w14:paraId="763AABED" w14:textId="77777777" w:rsidR="00483888" w:rsidRPr="006111EB" w:rsidRDefault="00483888" w:rsidP="00483888">
            <w:pPr>
              <w:jc w:val="right"/>
              <w:rPr>
                <w:rFonts w:ascii="Calibri" w:eastAsia="Times New Roman" w:hAnsi="Calibri" w:cs="Calibri"/>
                <w:color w:val="000000"/>
                <w:sz w:val="22"/>
                <w:szCs w:val="22"/>
                <w:lang w:eastAsia="ko-KR"/>
              </w:rPr>
            </w:pPr>
            <w:r w:rsidRPr="006111EB">
              <w:rPr>
                <w:rFonts w:ascii="Calibri" w:eastAsia="맑은 고딕" w:hAnsi="Calibri" w:cs="Calibri"/>
                <w:color w:val="000000"/>
                <w:sz w:val="22"/>
                <w:szCs w:val="22"/>
                <w:lang w:eastAsia="ko-KR"/>
              </w:rPr>
              <w:t>1.24</w:t>
            </w:r>
          </w:p>
        </w:tc>
      </w:tr>
    </w:tbl>
    <w:p w14:paraId="13B9AC40" w14:textId="58E698BF" w:rsidR="008A7CE1" w:rsidRPr="006111EB" w:rsidRDefault="00DA5302" w:rsidP="00940944">
      <w:pPr>
        <w:pStyle w:val="AMIABodyText"/>
        <w:rPr>
          <w:rFonts w:ascii="Calibri" w:hAnsi="Calibri" w:cs="Calibri"/>
          <w:sz w:val="22"/>
          <w:szCs w:val="22"/>
        </w:rPr>
      </w:pPr>
      <w:r w:rsidRPr="006111EB">
        <w:rPr>
          <w:rFonts w:ascii="Calibri" w:hAnsi="Calibri" w:cs="Calibri"/>
          <w:sz w:val="22"/>
          <w:szCs w:val="22"/>
        </w:rPr>
        <w:t xml:space="preserve">PY, person-year; </w:t>
      </w:r>
      <w:r w:rsidR="00B3298D" w:rsidRPr="006111EB">
        <w:rPr>
          <w:rFonts w:ascii="Calibri" w:hAnsi="Calibri" w:cs="Calibri"/>
          <w:sz w:val="22"/>
          <w:szCs w:val="22"/>
        </w:rPr>
        <w:t>MDRR, Minimum detectable r</w:t>
      </w:r>
      <w:r w:rsidRPr="006111EB">
        <w:rPr>
          <w:rFonts w:ascii="Calibri" w:hAnsi="Calibri" w:cs="Calibri"/>
          <w:sz w:val="22"/>
          <w:szCs w:val="22"/>
        </w:rPr>
        <w:t>elative risk</w:t>
      </w:r>
    </w:p>
    <w:p w14:paraId="2AB54CD7" w14:textId="77777777" w:rsidR="00781CE1" w:rsidRPr="006111EB" w:rsidRDefault="000876BD" w:rsidP="00940944">
      <w:pPr>
        <w:pStyle w:val="AMIAHeading"/>
        <w:rPr>
          <w:rFonts w:ascii="Calibri" w:hAnsi="Calibri" w:cs="Calibri"/>
          <w:sz w:val="22"/>
          <w:szCs w:val="22"/>
        </w:rPr>
      </w:pPr>
      <w:r w:rsidRPr="006111EB">
        <w:rPr>
          <w:rFonts w:ascii="Calibri" w:hAnsi="Calibri" w:cs="Calibri"/>
          <w:sz w:val="22"/>
          <w:szCs w:val="22"/>
        </w:rPr>
        <w:t>Conclusion</w:t>
      </w:r>
    </w:p>
    <w:p w14:paraId="0D7421B4" w14:textId="40BE06C2" w:rsidR="003D0AD2" w:rsidRPr="006111EB" w:rsidRDefault="003D0AD2" w:rsidP="00AB48EC">
      <w:pPr>
        <w:pStyle w:val="AMIABodyText"/>
        <w:rPr>
          <w:rFonts w:ascii="Calibri" w:hAnsi="Calibri" w:cs="Calibri"/>
          <w:sz w:val="22"/>
          <w:szCs w:val="22"/>
          <w:lang w:eastAsia="ko-KR"/>
        </w:rPr>
      </w:pPr>
      <w:r w:rsidRPr="006111EB">
        <w:rPr>
          <w:rFonts w:ascii="Calibri" w:hAnsi="Calibri" w:cs="Calibri"/>
          <w:sz w:val="22"/>
          <w:szCs w:val="22"/>
        </w:rPr>
        <w:t xml:space="preserve">We </w:t>
      </w:r>
      <w:r w:rsidR="003A57F1" w:rsidRPr="006111EB">
        <w:rPr>
          <w:rFonts w:ascii="Calibri" w:hAnsi="Calibri" w:cs="Calibri"/>
          <w:sz w:val="22"/>
          <w:szCs w:val="22"/>
        </w:rPr>
        <w:t>evaluated the</w:t>
      </w:r>
      <w:r w:rsidR="008E273B" w:rsidRPr="006111EB">
        <w:rPr>
          <w:rFonts w:ascii="Calibri" w:hAnsi="Calibri" w:cs="Calibri"/>
          <w:sz w:val="22"/>
          <w:szCs w:val="22"/>
        </w:rPr>
        <w:t xml:space="preserve"> size of cohorts in each comparison, </w:t>
      </w:r>
      <w:r w:rsidR="00474686" w:rsidRPr="006111EB">
        <w:rPr>
          <w:rFonts w:ascii="Calibri" w:hAnsi="Calibri" w:cs="Calibri"/>
          <w:sz w:val="22"/>
          <w:szCs w:val="22"/>
        </w:rPr>
        <w:t>follow-up duration, number of outcome events, event incidence</w:t>
      </w:r>
      <w:r w:rsidR="00F84688" w:rsidRPr="006111EB">
        <w:rPr>
          <w:rFonts w:ascii="Calibri" w:hAnsi="Calibri" w:cs="Calibri"/>
          <w:sz w:val="22"/>
          <w:szCs w:val="22"/>
        </w:rPr>
        <w:t>, and</w:t>
      </w:r>
      <w:r w:rsidR="00CB22DC" w:rsidRPr="006111EB">
        <w:rPr>
          <w:rFonts w:ascii="Calibri" w:hAnsi="Calibri" w:cs="Calibri"/>
          <w:sz w:val="22"/>
          <w:szCs w:val="22"/>
        </w:rPr>
        <w:t xml:space="preserve"> minimum </w:t>
      </w:r>
      <w:r w:rsidR="008E273B" w:rsidRPr="006111EB">
        <w:rPr>
          <w:rFonts w:ascii="Calibri" w:hAnsi="Calibri" w:cs="Calibri"/>
          <w:sz w:val="22"/>
          <w:szCs w:val="22"/>
        </w:rPr>
        <w:t>detectable relative risk</w:t>
      </w:r>
      <w:r w:rsidR="005557F5">
        <w:rPr>
          <w:rFonts w:ascii="Calibri" w:hAnsi="Calibri" w:cs="Calibri"/>
          <w:sz w:val="22"/>
          <w:szCs w:val="22"/>
        </w:rPr>
        <w:t>, balance of covariates, results for negative controls</w:t>
      </w:r>
      <w:r w:rsidR="00F84688" w:rsidRPr="006111EB">
        <w:rPr>
          <w:rFonts w:ascii="Calibri" w:hAnsi="Calibri" w:cs="Calibri"/>
          <w:sz w:val="22"/>
          <w:szCs w:val="22"/>
        </w:rPr>
        <w:t xml:space="preserve"> for the </w:t>
      </w:r>
      <w:r w:rsidR="00C2604B" w:rsidRPr="006111EB">
        <w:rPr>
          <w:rFonts w:ascii="Calibri" w:hAnsi="Calibri" w:cs="Calibri"/>
          <w:sz w:val="22"/>
          <w:szCs w:val="22"/>
        </w:rPr>
        <w:t xml:space="preserve">planned study design. </w:t>
      </w:r>
      <w:r w:rsidR="00BE3AEF" w:rsidRPr="006111EB">
        <w:rPr>
          <w:rFonts w:ascii="Calibri" w:hAnsi="Calibri" w:cs="Calibri"/>
          <w:sz w:val="22"/>
          <w:szCs w:val="22"/>
        </w:rPr>
        <w:t>Th</w:t>
      </w:r>
      <w:r w:rsidR="00D26E81" w:rsidRPr="006111EB">
        <w:rPr>
          <w:rFonts w:ascii="Calibri" w:hAnsi="Calibri" w:cs="Calibri"/>
          <w:sz w:val="22"/>
          <w:szCs w:val="22"/>
        </w:rPr>
        <w:t xml:space="preserve">ese results from feasibility test informed us </w:t>
      </w:r>
      <w:r w:rsidR="00046679" w:rsidRPr="006111EB">
        <w:rPr>
          <w:rFonts w:ascii="Calibri" w:hAnsi="Calibri" w:cs="Calibri"/>
          <w:sz w:val="22"/>
          <w:szCs w:val="22"/>
        </w:rPr>
        <w:t xml:space="preserve">about follow-up duration of cohorts and incidence patterns in the </w:t>
      </w:r>
      <w:r w:rsidR="005B7AD7" w:rsidRPr="006111EB">
        <w:rPr>
          <w:rFonts w:ascii="Calibri" w:hAnsi="Calibri" w:cs="Calibri"/>
          <w:sz w:val="22"/>
          <w:szCs w:val="22"/>
        </w:rPr>
        <w:t>database.</w:t>
      </w:r>
      <w:r w:rsidR="00BC12BB" w:rsidRPr="006111EB">
        <w:rPr>
          <w:rFonts w:ascii="Calibri" w:hAnsi="Calibri" w:cs="Calibri"/>
          <w:sz w:val="22"/>
          <w:szCs w:val="22"/>
        </w:rPr>
        <w:t xml:space="preserve"> </w:t>
      </w:r>
    </w:p>
    <w:p w14:paraId="24950C99" w14:textId="77777777" w:rsidR="00F239D9" w:rsidRPr="006111EB" w:rsidRDefault="00F239D9" w:rsidP="00940944">
      <w:pPr>
        <w:pStyle w:val="AMIABodyText"/>
        <w:rPr>
          <w:rFonts w:ascii="Calibri" w:hAnsi="Calibri" w:cs="Calibri"/>
          <w:sz w:val="22"/>
          <w:szCs w:val="22"/>
        </w:rPr>
      </w:pPr>
    </w:p>
    <w:p w14:paraId="3C384060" w14:textId="59872DB0" w:rsidR="00781CE1" w:rsidRPr="006111EB" w:rsidRDefault="00CB6242" w:rsidP="00940944">
      <w:pPr>
        <w:pStyle w:val="AMIAReferenceHeading"/>
        <w:rPr>
          <w:rFonts w:ascii="Calibri" w:hAnsi="Calibri" w:cs="Calibri"/>
          <w:sz w:val="22"/>
          <w:szCs w:val="22"/>
        </w:rPr>
      </w:pPr>
      <w:r>
        <w:rPr>
          <w:rFonts w:ascii="Calibri" w:hAnsi="Calibri" w:cs="Calibri"/>
          <w:sz w:val="22"/>
          <w:szCs w:val="22"/>
        </w:rPr>
        <w:br w:type="column"/>
      </w:r>
      <w:r w:rsidR="000876BD" w:rsidRPr="006111EB">
        <w:rPr>
          <w:rFonts w:ascii="Calibri" w:hAnsi="Calibri" w:cs="Calibri"/>
          <w:sz w:val="22"/>
          <w:szCs w:val="22"/>
        </w:rPr>
        <w:lastRenderedPageBreak/>
        <w:t>References</w:t>
      </w:r>
    </w:p>
    <w:p w14:paraId="16DEBE0C" w14:textId="77777777" w:rsidR="00F239D9" w:rsidRPr="006111EB" w:rsidRDefault="00F239D9" w:rsidP="00F239D9">
      <w:pPr>
        <w:pStyle w:val="AMIABodyText"/>
        <w:rPr>
          <w:rFonts w:ascii="Calibri" w:hAnsi="Calibri" w:cs="Calibri"/>
          <w:sz w:val="22"/>
          <w:szCs w:val="22"/>
        </w:rPr>
      </w:pPr>
      <w:r w:rsidRPr="006111EB">
        <w:rPr>
          <w:rFonts w:ascii="Calibri" w:hAnsi="Calibri" w:cs="Calibri"/>
          <w:sz w:val="22"/>
          <w:szCs w:val="22"/>
        </w:rPr>
        <w:t>1. Zeng T, Mitch WA. Oral intake of ranitidine increases urinary excretion of N-</w:t>
      </w:r>
      <w:proofErr w:type="spellStart"/>
      <w:r w:rsidRPr="006111EB">
        <w:rPr>
          <w:rFonts w:ascii="Calibri" w:hAnsi="Calibri" w:cs="Calibri"/>
          <w:sz w:val="22"/>
          <w:szCs w:val="22"/>
        </w:rPr>
        <w:t>nitrosodimethylamine</w:t>
      </w:r>
      <w:proofErr w:type="spellEnd"/>
      <w:r w:rsidRPr="006111EB">
        <w:rPr>
          <w:rFonts w:ascii="Calibri" w:hAnsi="Calibri" w:cs="Calibri"/>
          <w:sz w:val="22"/>
          <w:szCs w:val="22"/>
        </w:rPr>
        <w:t>. Carcinogenesis. 2016;37(6):625-34.</w:t>
      </w:r>
    </w:p>
    <w:p w14:paraId="7A2D83A9" w14:textId="77777777" w:rsidR="00F239D9" w:rsidRPr="006111EB" w:rsidRDefault="00F239D9" w:rsidP="00F239D9">
      <w:pPr>
        <w:pStyle w:val="AMIABodyText"/>
        <w:rPr>
          <w:rFonts w:ascii="Calibri" w:hAnsi="Calibri" w:cs="Calibri"/>
          <w:sz w:val="22"/>
          <w:szCs w:val="22"/>
        </w:rPr>
      </w:pPr>
      <w:r w:rsidRPr="006111EB">
        <w:rPr>
          <w:rFonts w:ascii="Calibri" w:hAnsi="Calibri" w:cs="Calibri"/>
          <w:sz w:val="22"/>
          <w:szCs w:val="22"/>
        </w:rPr>
        <w:t xml:space="preserve">2. </w:t>
      </w:r>
      <w:proofErr w:type="spellStart"/>
      <w:r w:rsidRPr="006111EB">
        <w:rPr>
          <w:rFonts w:ascii="Calibri" w:hAnsi="Calibri" w:cs="Calibri"/>
          <w:sz w:val="22"/>
          <w:szCs w:val="22"/>
        </w:rPr>
        <w:t>Mahase</w:t>
      </w:r>
      <w:proofErr w:type="spellEnd"/>
      <w:r w:rsidRPr="006111EB">
        <w:rPr>
          <w:rFonts w:ascii="Calibri" w:hAnsi="Calibri" w:cs="Calibri"/>
          <w:sz w:val="22"/>
          <w:szCs w:val="22"/>
        </w:rPr>
        <w:t xml:space="preserve"> E. FDA recalls ranitidine medicines over potential </w:t>
      </w:r>
      <w:proofErr w:type="gramStart"/>
      <w:r w:rsidRPr="006111EB">
        <w:rPr>
          <w:rFonts w:ascii="Calibri" w:hAnsi="Calibri" w:cs="Calibri"/>
          <w:sz w:val="22"/>
          <w:szCs w:val="22"/>
        </w:rPr>
        <w:t>cancer causing</w:t>
      </w:r>
      <w:proofErr w:type="gramEnd"/>
      <w:r w:rsidRPr="006111EB">
        <w:rPr>
          <w:rFonts w:ascii="Calibri" w:hAnsi="Calibri" w:cs="Calibri"/>
          <w:sz w:val="22"/>
          <w:szCs w:val="22"/>
        </w:rPr>
        <w:t xml:space="preserve"> impurity. </w:t>
      </w:r>
      <w:proofErr w:type="spellStart"/>
      <w:r w:rsidRPr="006111EB">
        <w:rPr>
          <w:rFonts w:ascii="Calibri" w:hAnsi="Calibri" w:cs="Calibri"/>
          <w:sz w:val="22"/>
          <w:szCs w:val="22"/>
        </w:rPr>
        <w:t>Bmj</w:t>
      </w:r>
      <w:proofErr w:type="spellEnd"/>
      <w:r w:rsidRPr="006111EB">
        <w:rPr>
          <w:rFonts w:ascii="Calibri" w:hAnsi="Calibri" w:cs="Calibri"/>
          <w:sz w:val="22"/>
          <w:szCs w:val="22"/>
        </w:rPr>
        <w:t>. 2019;</w:t>
      </w:r>
      <w:proofErr w:type="gramStart"/>
      <w:r w:rsidRPr="006111EB">
        <w:rPr>
          <w:rFonts w:ascii="Calibri" w:hAnsi="Calibri" w:cs="Calibri"/>
          <w:sz w:val="22"/>
          <w:szCs w:val="22"/>
        </w:rPr>
        <w:t>367:l</w:t>
      </w:r>
      <w:proofErr w:type="gramEnd"/>
      <w:r w:rsidRPr="006111EB">
        <w:rPr>
          <w:rFonts w:ascii="Calibri" w:hAnsi="Calibri" w:cs="Calibri"/>
          <w:sz w:val="22"/>
          <w:szCs w:val="22"/>
        </w:rPr>
        <w:t>5832.</w:t>
      </w:r>
    </w:p>
    <w:p w14:paraId="3F20D82A" w14:textId="77777777" w:rsidR="00F239D9" w:rsidRPr="006111EB" w:rsidRDefault="00F239D9" w:rsidP="00F239D9">
      <w:pPr>
        <w:pStyle w:val="AMIABodyText"/>
        <w:rPr>
          <w:rFonts w:ascii="Calibri" w:hAnsi="Calibri" w:cs="Calibri"/>
          <w:sz w:val="22"/>
          <w:szCs w:val="22"/>
        </w:rPr>
      </w:pPr>
      <w:r w:rsidRPr="006111EB">
        <w:rPr>
          <w:rFonts w:ascii="Calibri" w:hAnsi="Calibri" w:cs="Calibri"/>
          <w:sz w:val="22"/>
          <w:szCs w:val="22"/>
        </w:rPr>
        <w:t>3. Lin JK. Nitrosamines as potential environmental carcinogens in man. Clinical biochemistry. 1990;23(1):67-71.</w:t>
      </w:r>
    </w:p>
    <w:p w14:paraId="6A11A124" w14:textId="77777777" w:rsidR="00F239D9" w:rsidRPr="006111EB" w:rsidRDefault="00F239D9" w:rsidP="00F239D9">
      <w:pPr>
        <w:pStyle w:val="AMIABodyText"/>
        <w:rPr>
          <w:rFonts w:ascii="Calibri" w:hAnsi="Calibri" w:cs="Calibri"/>
          <w:sz w:val="22"/>
          <w:szCs w:val="22"/>
        </w:rPr>
      </w:pPr>
      <w:r w:rsidRPr="006111EB">
        <w:rPr>
          <w:rFonts w:ascii="Calibri" w:hAnsi="Calibri" w:cs="Calibri"/>
          <w:sz w:val="22"/>
          <w:szCs w:val="22"/>
        </w:rPr>
        <w:t xml:space="preserve">4. </w:t>
      </w:r>
      <w:proofErr w:type="spellStart"/>
      <w:r w:rsidRPr="006111EB">
        <w:rPr>
          <w:rFonts w:ascii="Calibri" w:hAnsi="Calibri" w:cs="Calibri"/>
          <w:sz w:val="22"/>
          <w:szCs w:val="22"/>
        </w:rPr>
        <w:t>Peto</w:t>
      </w:r>
      <w:proofErr w:type="spellEnd"/>
      <w:r w:rsidRPr="006111EB">
        <w:rPr>
          <w:rFonts w:ascii="Calibri" w:hAnsi="Calibri" w:cs="Calibri"/>
          <w:sz w:val="22"/>
          <w:szCs w:val="22"/>
        </w:rPr>
        <w:t xml:space="preserve"> R, Gray R, </w:t>
      </w:r>
      <w:proofErr w:type="spellStart"/>
      <w:r w:rsidRPr="006111EB">
        <w:rPr>
          <w:rFonts w:ascii="Calibri" w:hAnsi="Calibri" w:cs="Calibri"/>
          <w:sz w:val="22"/>
          <w:szCs w:val="22"/>
        </w:rPr>
        <w:t>Brantom</w:t>
      </w:r>
      <w:proofErr w:type="spellEnd"/>
      <w:r w:rsidRPr="006111EB">
        <w:rPr>
          <w:rFonts w:ascii="Calibri" w:hAnsi="Calibri" w:cs="Calibri"/>
          <w:sz w:val="22"/>
          <w:szCs w:val="22"/>
        </w:rPr>
        <w:t xml:space="preserve"> P, Grasso P. Nitrosamine carcinogenesis in 5120 rodents: chronic administration of sixteen different concentrations of NDEA, NDMA, NPYR and NPIP in the water of 4440 inbred rats, with parallel studies on NDEA alone of the effect of age of starting (3, 6 or 20 weeks) and of species (rats, mice or hamsters). IARC scientific publications. 1984(57):627-65.</w:t>
      </w:r>
    </w:p>
    <w:p w14:paraId="415FD2C5" w14:textId="77777777" w:rsidR="00F239D9" w:rsidRPr="006111EB" w:rsidRDefault="00F239D9" w:rsidP="00F239D9">
      <w:pPr>
        <w:pStyle w:val="AMIABodyText"/>
        <w:rPr>
          <w:rFonts w:ascii="Calibri" w:hAnsi="Calibri" w:cs="Calibri"/>
          <w:sz w:val="22"/>
          <w:szCs w:val="22"/>
        </w:rPr>
      </w:pPr>
      <w:r w:rsidRPr="006111EB">
        <w:rPr>
          <w:rFonts w:ascii="Calibri" w:hAnsi="Calibri" w:cs="Calibri"/>
          <w:sz w:val="22"/>
          <w:szCs w:val="22"/>
        </w:rPr>
        <w:t xml:space="preserve">5. </w:t>
      </w:r>
      <w:proofErr w:type="spellStart"/>
      <w:r w:rsidRPr="006111EB">
        <w:rPr>
          <w:rFonts w:ascii="Calibri" w:hAnsi="Calibri" w:cs="Calibri"/>
          <w:sz w:val="22"/>
          <w:szCs w:val="22"/>
        </w:rPr>
        <w:t>Pottegard</w:t>
      </w:r>
      <w:proofErr w:type="spellEnd"/>
      <w:r w:rsidRPr="006111EB">
        <w:rPr>
          <w:rFonts w:ascii="Calibri" w:hAnsi="Calibri" w:cs="Calibri"/>
          <w:sz w:val="22"/>
          <w:szCs w:val="22"/>
        </w:rPr>
        <w:t xml:space="preserve"> A, Kristensen KB, Ernst MT, Johansen NB, </w:t>
      </w:r>
      <w:proofErr w:type="spellStart"/>
      <w:r w:rsidRPr="006111EB">
        <w:rPr>
          <w:rFonts w:ascii="Calibri" w:hAnsi="Calibri" w:cs="Calibri"/>
          <w:sz w:val="22"/>
          <w:szCs w:val="22"/>
        </w:rPr>
        <w:t>Quartarolo</w:t>
      </w:r>
      <w:proofErr w:type="spellEnd"/>
      <w:r w:rsidRPr="006111EB">
        <w:rPr>
          <w:rFonts w:ascii="Calibri" w:hAnsi="Calibri" w:cs="Calibri"/>
          <w:sz w:val="22"/>
          <w:szCs w:val="22"/>
        </w:rPr>
        <w:t xml:space="preserve"> P, Hallas J. Use of N-</w:t>
      </w:r>
      <w:proofErr w:type="spellStart"/>
      <w:r w:rsidRPr="006111EB">
        <w:rPr>
          <w:rFonts w:ascii="Calibri" w:hAnsi="Calibri" w:cs="Calibri"/>
          <w:sz w:val="22"/>
          <w:szCs w:val="22"/>
        </w:rPr>
        <w:t>nitrosodimethylamine</w:t>
      </w:r>
      <w:proofErr w:type="spellEnd"/>
      <w:r w:rsidRPr="006111EB">
        <w:rPr>
          <w:rFonts w:ascii="Calibri" w:hAnsi="Calibri" w:cs="Calibri"/>
          <w:sz w:val="22"/>
          <w:szCs w:val="22"/>
        </w:rPr>
        <w:t xml:space="preserve"> (NDMA) contaminated valsartan products and risk of cancer: Danish nationwide cohort study. BMJ. 2018;</w:t>
      </w:r>
      <w:proofErr w:type="gramStart"/>
      <w:r w:rsidRPr="006111EB">
        <w:rPr>
          <w:rFonts w:ascii="Calibri" w:hAnsi="Calibri" w:cs="Calibri"/>
          <w:sz w:val="22"/>
          <w:szCs w:val="22"/>
        </w:rPr>
        <w:t>362:k</w:t>
      </w:r>
      <w:proofErr w:type="gramEnd"/>
      <w:r w:rsidRPr="006111EB">
        <w:rPr>
          <w:rFonts w:ascii="Calibri" w:hAnsi="Calibri" w:cs="Calibri"/>
          <w:sz w:val="22"/>
          <w:szCs w:val="22"/>
        </w:rPr>
        <w:t>3851.</w:t>
      </w:r>
    </w:p>
    <w:p w14:paraId="1425B09A" w14:textId="77777777" w:rsidR="00F239D9" w:rsidRPr="006111EB" w:rsidRDefault="00F239D9" w:rsidP="00F239D9">
      <w:pPr>
        <w:pStyle w:val="AMIABodyText"/>
        <w:rPr>
          <w:rFonts w:ascii="Calibri" w:hAnsi="Calibri" w:cs="Calibri"/>
          <w:sz w:val="22"/>
          <w:szCs w:val="22"/>
        </w:rPr>
      </w:pPr>
      <w:r w:rsidRPr="006111EB">
        <w:rPr>
          <w:rFonts w:ascii="Calibri" w:hAnsi="Calibri" w:cs="Calibri"/>
          <w:sz w:val="22"/>
          <w:szCs w:val="22"/>
        </w:rPr>
        <w:t xml:space="preserve">6. </w:t>
      </w:r>
      <w:proofErr w:type="spellStart"/>
      <w:r w:rsidRPr="006111EB">
        <w:rPr>
          <w:rFonts w:ascii="Calibri" w:hAnsi="Calibri" w:cs="Calibri"/>
          <w:sz w:val="22"/>
          <w:szCs w:val="22"/>
        </w:rPr>
        <w:t>Tricker</w:t>
      </w:r>
      <w:proofErr w:type="spellEnd"/>
      <w:r w:rsidRPr="006111EB">
        <w:rPr>
          <w:rFonts w:ascii="Calibri" w:hAnsi="Calibri" w:cs="Calibri"/>
          <w:sz w:val="22"/>
          <w:szCs w:val="22"/>
        </w:rPr>
        <w:t xml:space="preserve"> AR, </w:t>
      </w:r>
      <w:proofErr w:type="spellStart"/>
      <w:r w:rsidRPr="006111EB">
        <w:rPr>
          <w:rFonts w:ascii="Calibri" w:hAnsi="Calibri" w:cs="Calibri"/>
          <w:sz w:val="22"/>
          <w:szCs w:val="22"/>
        </w:rPr>
        <w:t>Preussmann</w:t>
      </w:r>
      <w:proofErr w:type="spellEnd"/>
      <w:r w:rsidRPr="006111EB">
        <w:rPr>
          <w:rFonts w:ascii="Calibri" w:hAnsi="Calibri" w:cs="Calibri"/>
          <w:sz w:val="22"/>
          <w:szCs w:val="22"/>
        </w:rPr>
        <w:t xml:space="preserve"> R. Carcinogenic N-nitrosamines in the diet: occurrence, formation, </w:t>
      </w:r>
      <w:proofErr w:type="gramStart"/>
      <w:r w:rsidRPr="006111EB">
        <w:rPr>
          <w:rFonts w:ascii="Calibri" w:hAnsi="Calibri" w:cs="Calibri"/>
          <w:sz w:val="22"/>
          <w:szCs w:val="22"/>
        </w:rPr>
        <w:t>mechanisms</w:t>
      </w:r>
      <w:proofErr w:type="gramEnd"/>
      <w:r w:rsidRPr="006111EB">
        <w:rPr>
          <w:rFonts w:ascii="Calibri" w:hAnsi="Calibri" w:cs="Calibri"/>
          <w:sz w:val="22"/>
          <w:szCs w:val="22"/>
        </w:rPr>
        <w:t xml:space="preserve"> and carcinogenic potential. Mutation research. 1991;259(3-4):277-89.</w:t>
      </w:r>
    </w:p>
    <w:p w14:paraId="04F4C00B" w14:textId="77777777" w:rsidR="00F239D9" w:rsidRPr="006111EB" w:rsidRDefault="00F239D9" w:rsidP="00F239D9">
      <w:pPr>
        <w:pStyle w:val="AMIABodyText"/>
        <w:rPr>
          <w:rFonts w:ascii="Calibri" w:hAnsi="Calibri" w:cs="Calibri"/>
          <w:sz w:val="22"/>
          <w:szCs w:val="22"/>
        </w:rPr>
      </w:pPr>
      <w:r w:rsidRPr="006111EB">
        <w:rPr>
          <w:rFonts w:ascii="Calibri" w:hAnsi="Calibri" w:cs="Calibri"/>
          <w:sz w:val="22"/>
          <w:szCs w:val="22"/>
        </w:rPr>
        <w:t>7. Hecht SS. Approaches to cancer prevention based on an understanding of N-nitrosamine carcinogenesis. Proceedings of the Society for Experimental Biology and Medicine Society for Experimental Biology and Medicine (New York, NY). 1997;216(2):181-91.</w:t>
      </w:r>
    </w:p>
    <w:p w14:paraId="3C780D09" w14:textId="77777777" w:rsidR="00F239D9" w:rsidRPr="006111EB" w:rsidRDefault="00F239D9" w:rsidP="00F239D9">
      <w:pPr>
        <w:pStyle w:val="AMIABodyText"/>
        <w:rPr>
          <w:rFonts w:ascii="Calibri" w:hAnsi="Calibri" w:cs="Calibri"/>
          <w:sz w:val="22"/>
          <w:szCs w:val="22"/>
        </w:rPr>
      </w:pPr>
      <w:r w:rsidRPr="006111EB">
        <w:rPr>
          <w:rFonts w:ascii="Calibri" w:hAnsi="Calibri" w:cs="Calibri"/>
          <w:sz w:val="22"/>
          <w:szCs w:val="22"/>
        </w:rPr>
        <w:t xml:space="preserve">8. </w:t>
      </w:r>
      <w:proofErr w:type="spellStart"/>
      <w:r w:rsidRPr="006111EB">
        <w:rPr>
          <w:rFonts w:ascii="Calibri" w:hAnsi="Calibri" w:cs="Calibri"/>
          <w:sz w:val="22"/>
          <w:szCs w:val="22"/>
        </w:rPr>
        <w:t>Loh</w:t>
      </w:r>
      <w:proofErr w:type="spellEnd"/>
      <w:r w:rsidRPr="006111EB">
        <w:rPr>
          <w:rFonts w:ascii="Calibri" w:hAnsi="Calibri" w:cs="Calibri"/>
          <w:sz w:val="22"/>
          <w:szCs w:val="22"/>
        </w:rPr>
        <w:t xml:space="preserve"> YH, </w:t>
      </w:r>
      <w:proofErr w:type="spellStart"/>
      <w:r w:rsidRPr="006111EB">
        <w:rPr>
          <w:rFonts w:ascii="Calibri" w:hAnsi="Calibri" w:cs="Calibri"/>
          <w:sz w:val="22"/>
          <w:szCs w:val="22"/>
        </w:rPr>
        <w:t>Jakszyn</w:t>
      </w:r>
      <w:proofErr w:type="spellEnd"/>
      <w:r w:rsidRPr="006111EB">
        <w:rPr>
          <w:rFonts w:ascii="Calibri" w:hAnsi="Calibri" w:cs="Calibri"/>
          <w:sz w:val="22"/>
          <w:szCs w:val="22"/>
        </w:rPr>
        <w:t xml:space="preserve"> P, </w:t>
      </w:r>
      <w:proofErr w:type="spellStart"/>
      <w:r w:rsidRPr="006111EB">
        <w:rPr>
          <w:rFonts w:ascii="Calibri" w:hAnsi="Calibri" w:cs="Calibri"/>
          <w:sz w:val="22"/>
          <w:szCs w:val="22"/>
        </w:rPr>
        <w:t>Luben</w:t>
      </w:r>
      <w:proofErr w:type="spellEnd"/>
      <w:r w:rsidRPr="006111EB">
        <w:rPr>
          <w:rFonts w:ascii="Calibri" w:hAnsi="Calibri" w:cs="Calibri"/>
          <w:sz w:val="22"/>
          <w:szCs w:val="22"/>
        </w:rPr>
        <w:t xml:space="preserve"> RN, Mulligan AA, </w:t>
      </w:r>
      <w:proofErr w:type="spellStart"/>
      <w:r w:rsidRPr="006111EB">
        <w:rPr>
          <w:rFonts w:ascii="Calibri" w:hAnsi="Calibri" w:cs="Calibri"/>
          <w:sz w:val="22"/>
          <w:szCs w:val="22"/>
        </w:rPr>
        <w:t>Mitrou</w:t>
      </w:r>
      <w:proofErr w:type="spellEnd"/>
      <w:r w:rsidRPr="006111EB">
        <w:rPr>
          <w:rFonts w:ascii="Calibri" w:hAnsi="Calibri" w:cs="Calibri"/>
          <w:sz w:val="22"/>
          <w:szCs w:val="22"/>
        </w:rPr>
        <w:t xml:space="preserve"> PN, </w:t>
      </w:r>
      <w:proofErr w:type="spellStart"/>
      <w:r w:rsidRPr="006111EB">
        <w:rPr>
          <w:rFonts w:ascii="Calibri" w:hAnsi="Calibri" w:cs="Calibri"/>
          <w:sz w:val="22"/>
          <w:szCs w:val="22"/>
        </w:rPr>
        <w:t>Khaw</w:t>
      </w:r>
      <w:proofErr w:type="spellEnd"/>
      <w:r w:rsidRPr="006111EB">
        <w:rPr>
          <w:rFonts w:ascii="Calibri" w:hAnsi="Calibri" w:cs="Calibri"/>
          <w:sz w:val="22"/>
          <w:szCs w:val="22"/>
        </w:rPr>
        <w:t xml:space="preserve"> KT. N-Nitroso compounds and cancer incidence: the European Prospective Investigation into Cancer and Nutrition (EPIC)-Norfolk Study. The American journal of clinical nutrition. 2011;93(5):1053-61.</w:t>
      </w:r>
    </w:p>
    <w:p w14:paraId="6498DE18" w14:textId="77777777" w:rsidR="00F239D9" w:rsidRPr="006111EB" w:rsidRDefault="00F239D9" w:rsidP="00F239D9">
      <w:pPr>
        <w:pStyle w:val="AMIABodyText"/>
        <w:rPr>
          <w:rFonts w:ascii="Calibri" w:hAnsi="Calibri" w:cs="Calibri"/>
          <w:sz w:val="22"/>
          <w:szCs w:val="22"/>
        </w:rPr>
      </w:pPr>
      <w:r w:rsidRPr="006111EB">
        <w:rPr>
          <w:rFonts w:ascii="Calibri" w:hAnsi="Calibri" w:cs="Calibri"/>
          <w:sz w:val="22"/>
          <w:szCs w:val="22"/>
        </w:rPr>
        <w:t xml:space="preserve">9. Zheng J, Stuff J, Tang H, Hassan MM, Daniel CR, Li D. Dietary N-nitroso </w:t>
      </w:r>
      <w:proofErr w:type="gramStart"/>
      <w:r w:rsidRPr="006111EB">
        <w:rPr>
          <w:rFonts w:ascii="Calibri" w:hAnsi="Calibri" w:cs="Calibri"/>
          <w:sz w:val="22"/>
          <w:szCs w:val="22"/>
        </w:rPr>
        <w:t>compounds</w:t>
      </w:r>
      <w:proofErr w:type="gramEnd"/>
      <w:r w:rsidRPr="006111EB">
        <w:rPr>
          <w:rFonts w:ascii="Calibri" w:hAnsi="Calibri" w:cs="Calibri"/>
          <w:sz w:val="22"/>
          <w:szCs w:val="22"/>
        </w:rPr>
        <w:t xml:space="preserve"> and risk of pancreatic cancer: results from a large case-control study. Carcinogenesis. 2019;40(2):254-62.</w:t>
      </w:r>
    </w:p>
    <w:p w14:paraId="578D3807" w14:textId="77777777" w:rsidR="00F239D9" w:rsidRPr="006111EB" w:rsidRDefault="00F239D9" w:rsidP="00F239D9">
      <w:pPr>
        <w:pStyle w:val="AMIABodyText"/>
        <w:rPr>
          <w:rFonts w:ascii="Calibri" w:hAnsi="Calibri" w:cs="Calibri"/>
          <w:sz w:val="22"/>
          <w:szCs w:val="22"/>
        </w:rPr>
      </w:pPr>
      <w:r w:rsidRPr="006111EB">
        <w:rPr>
          <w:rFonts w:ascii="Calibri" w:hAnsi="Calibri" w:cs="Calibri"/>
          <w:sz w:val="22"/>
          <w:szCs w:val="22"/>
        </w:rPr>
        <w:t xml:space="preserve">10. Zhu Y, Wang PP, Zhao J, Green R, Sun Z, </w:t>
      </w:r>
      <w:proofErr w:type="spellStart"/>
      <w:r w:rsidRPr="006111EB">
        <w:rPr>
          <w:rFonts w:ascii="Calibri" w:hAnsi="Calibri" w:cs="Calibri"/>
          <w:sz w:val="22"/>
          <w:szCs w:val="22"/>
        </w:rPr>
        <w:t>Roebothan</w:t>
      </w:r>
      <w:proofErr w:type="spellEnd"/>
      <w:r w:rsidRPr="006111EB">
        <w:rPr>
          <w:rFonts w:ascii="Calibri" w:hAnsi="Calibri" w:cs="Calibri"/>
          <w:sz w:val="22"/>
          <w:szCs w:val="22"/>
        </w:rPr>
        <w:t xml:space="preserve"> B, et al. Dietary N-nitroso </w:t>
      </w:r>
      <w:proofErr w:type="gramStart"/>
      <w:r w:rsidRPr="006111EB">
        <w:rPr>
          <w:rFonts w:ascii="Calibri" w:hAnsi="Calibri" w:cs="Calibri"/>
          <w:sz w:val="22"/>
          <w:szCs w:val="22"/>
        </w:rPr>
        <w:t>compounds</w:t>
      </w:r>
      <w:proofErr w:type="gramEnd"/>
      <w:r w:rsidRPr="006111EB">
        <w:rPr>
          <w:rFonts w:ascii="Calibri" w:hAnsi="Calibri" w:cs="Calibri"/>
          <w:sz w:val="22"/>
          <w:szCs w:val="22"/>
        </w:rPr>
        <w:t xml:space="preserve"> and risk of colorectal cancer: a case-control study in Newfoundland and Labrador and Ontario, Canada. The British journal of nutrition. 2014;111(6):1109-17.</w:t>
      </w:r>
    </w:p>
    <w:p w14:paraId="5FAB414D" w14:textId="77777777" w:rsidR="00F239D9" w:rsidRPr="006111EB" w:rsidRDefault="00F239D9" w:rsidP="00F239D9">
      <w:pPr>
        <w:pStyle w:val="AMIABodyText"/>
        <w:rPr>
          <w:rFonts w:ascii="Calibri" w:hAnsi="Calibri" w:cs="Calibri"/>
          <w:sz w:val="22"/>
          <w:szCs w:val="22"/>
        </w:rPr>
      </w:pPr>
      <w:r w:rsidRPr="006111EB">
        <w:rPr>
          <w:rFonts w:ascii="Calibri" w:hAnsi="Calibri" w:cs="Calibri"/>
          <w:sz w:val="22"/>
          <w:szCs w:val="22"/>
        </w:rPr>
        <w:t>11. Song P, Wu L, Guan W. Dietary Nitrates, Nitrites, and Nitrosamines Intake and the Risk of Gastric Cancer: A Meta-Analysis. Nutrients. 2015;7(12):9872-95.</w:t>
      </w:r>
    </w:p>
    <w:p w14:paraId="57691710" w14:textId="22989FEE" w:rsidR="009F11C2" w:rsidRPr="006111EB" w:rsidRDefault="00F239D9" w:rsidP="00CB6242">
      <w:pPr>
        <w:pStyle w:val="AMIABodyText"/>
        <w:rPr>
          <w:rFonts w:ascii="Calibri" w:hAnsi="Calibri" w:cs="Calibri"/>
          <w:sz w:val="22"/>
          <w:szCs w:val="22"/>
        </w:rPr>
        <w:sectPr w:rsidR="009F11C2" w:rsidRPr="006111EB" w:rsidSect="001A47CF">
          <w:type w:val="continuous"/>
          <w:pgSz w:w="12240" w:h="15840" w:code="1"/>
          <w:pgMar w:top="1440" w:right="1440" w:bottom="1440" w:left="1440" w:header="720" w:footer="720" w:gutter="0"/>
          <w:cols w:space="720"/>
        </w:sectPr>
      </w:pPr>
      <w:r w:rsidRPr="006111EB">
        <w:rPr>
          <w:rFonts w:ascii="Calibri" w:hAnsi="Calibri" w:cs="Calibri"/>
          <w:sz w:val="22"/>
          <w:szCs w:val="22"/>
        </w:rPr>
        <w:t xml:space="preserve">12. La </w:t>
      </w:r>
      <w:proofErr w:type="spellStart"/>
      <w:r w:rsidRPr="006111EB">
        <w:rPr>
          <w:rFonts w:ascii="Calibri" w:hAnsi="Calibri" w:cs="Calibri"/>
          <w:sz w:val="22"/>
          <w:szCs w:val="22"/>
        </w:rPr>
        <w:t>Vecchia</w:t>
      </w:r>
      <w:proofErr w:type="spellEnd"/>
      <w:r w:rsidRPr="006111EB">
        <w:rPr>
          <w:rFonts w:ascii="Calibri" w:hAnsi="Calibri" w:cs="Calibri"/>
          <w:sz w:val="22"/>
          <w:szCs w:val="22"/>
        </w:rPr>
        <w:t xml:space="preserve"> C, </w:t>
      </w:r>
      <w:proofErr w:type="spellStart"/>
      <w:r w:rsidRPr="006111EB">
        <w:rPr>
          <w:rFonts w:ascii="Calibri" w:hAnsi="Calibri" w:cs="Calibri"/>
          <w:sz w:val="22"/>
          <w:szCs w:val="22"/>
        </w:rPr>
        <w:t>D'Avanzo</w:t>
      </w:r>
      <w:proofErr w:type="spellEnd"/>
      <w:r w:rsidRPr="006111EB">
        <w:rPr>
          <w:rFonts w:ascii="Calibri" w:hAnsi="Calibri" w:cs="Calibri"/>
          <w:sz w:val="22"/>
          <w:szCs w:val="22"/>
        </w:rPr>
        <w:t xml:space="preserve"> B, </w:t>
      </w:r>
      <w:proofErr w:type="spellStart"/>
      <w:r w:rsidRPr="006111EB">
        <w:rPr>
          <w:rFonts w:ascii="Calibri" w:hAnsi="Calibri" w:cs="Calibri"/>
          <w:sz w:val="22"/>
          <w:szCs w:val="22"/>
        </w:rPr>
        <w:t>Airoldi</w:t>
      </w:r>
      <w:proofErr w:type="spellEnd"/>
      <w:r w:rsidRPr="006111EB">
        <w:rPr>
          <w:rFonts w:ascii="Calibri" w:hAnsi="Calibri" w:cs="Calibri"/>
          <w:sz w:val="22"/>
          <w:szCs w:val="22"/>
        </w:rPr>
        <w:t xml:space="preserve"> L, Braga C, </w:t>
      </w:r>
      <w:proofErr w:type="spellStart"/>
      <w:r w:rsidRPr="006111EB">
        <w:rPr>
          <w:rFonts w:ascii="Calibri" w:hAnsi="Calibri" w:cs="Calibri"/>
          <w:sz w:val="22"/>
          <w:szCs w:val="22"/>
        </w:rPr>
        <w:t>Decarli</w:t>
      </w:r>
      <w:proofErr w:type="spellEnd"/>
      <w:r w:rsidRPr="006111EB">
        <w:rPr>
          <w:rFonts w:ascii="Calibri" w:hAnsi="Calibri" w:cs="Calibri"/>
          <w:sz w:val="22"/>
          <w:szCs w:val="22"/>
        </w:rPr>
        <w:t xml:space="preserve"> A. Nitrosamine intake and gastric cancer risk. European journal of cancer </w:t>
      </w:r>
      <w:proofErr w:type="gramStart"/>
      <w:r w:rsidRPr="006111EB">
        <w:rPr>
          <w:rFonts w:ascii="Calibri" w:hAnsi="Calibri" w:cs="Calibri"/>
          <w:sz w:val="22"/>
          <w:szCs w:val="22"/>
        </w:rPr>
        <w:t>prevention :</w:t>
      </w:r>
      <w:proofErr w:type="gramEnd"/>
      <w:r w:rsidRPr="006111EB">
        <w:rPr>
          <w:rFonts w:ascii="Calibri" w:hAnsi="Calibri" w:cs="Calibri"/>
          <w:sz w:val="22"/>
          <w:szCs w:val="22"/>
        </w:rPr>
        <w:t xml:space="preserve"> the official journal of the European Cancer Prevention </w:t>
      </w:r>
      <w:proofErr w:type="spellStart"/>
      <w:r w:rsidRPr="006111EB">
        <w:rPr>
          <w:rFonts w:ascii="Calibri" w:hAnsi="Calibri" w:cs="Calibri"/>
          <w:sz w:val="22"/>
          <w:szCs w:val="22"/>
        </w:rPr>
        <w:t>Organisation</w:t>
      </w:r>
      <w:proofErr w:type="spellEnd"/>
      <w:r w:rsidRPr="006111EB">
        <w:rPr>
          <w:rFonts w:ascii="Calibri" w:hAnsi="Calibri" w:cs="Calibri"/>
          <w:sz w:val="22"/>
          <w:szCs w:val="22"/>
        </w:rPr>
        <w:t xml:space="preserve"> (ECP). 1995;4(6):469-74.</w:t>
      </w:r>
    </w:p>
    <w:p w14:paraId="35BAF35E" w14:textId="051FE33A" w:rsidR="00C73CCC" w:rsidRPr="006111EB" w:rsidRDefault="00C73CCC" w:rsidP="00857029">
      <w:pPr>
        <w:jc w:val="both"/>
        <w:rPr>
          <w:rFonts w:ascii="Calibri" w:hAnsi="Calibri" w:cs="Calibri"/>
          <w:sz w:val="22"/>
          <w:szCs w:val="22"/>
        </w:rPr>
        <w:sectPr w:rsidR="00C73CCC" w:rsidRPr="006111EB" w:rsidSect="0069458E">
          <w:type w:val="continuous"/>
          <w:pgSz w:w="12240" w:h="15840" w:code="1"/>
          <w:pgMar w:top="1440" w:right="1440" w:bottom="1440" w:left="1440" w:header="720" w:footer="720" w:gutter="0"/>
          <w:cols w:num="2" w:space="720"/>
        </w:sectPr>
      </w:pPr>
    </w:p>
    <w:p w14:paraId="2762E958" w14:textId="77777777" w:rsidR="00AF13D5" w:rsidRPr="006111EB" w:rsidRDefault="00AF13D5" w:rsidP="00857029">
      <w:pPr>
        <w:jc w:val="both"/>
        <w:rPr>
          <w:rFonts w:ascii="Calibri" w:hAnsi="Calibri" w:cs="Calibri"/>
          <w:sz w:val="22"/>
          <w:szCs w:val="22"/>
        </w:rPr>
      </w:pPr>
    </w:p>
    <w:sectPr w:rsidR="00AF13D5" w:rsidRPr="006111EB" w:rsidSect="00C73CCC">
      <w:pgSz w:w="12240" w:h="15840" w:code="1"/>
      <w:pgMar w:top="1440" w:right="1440" w:bottom="1440" w:left="1440" w:header="720" w:footer="720" w:gutter="0"/>
      <w:cols w:num="2"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4F4808" w14:textId="77777777" w:rsidR="00E62DB7" w:rsidRDefault="00E62DB7">
      <w:r>
        <w:separator/>
      </w:r>
    </w:p>
  </w:endnote>
  <w:endnote w:type="continuationSeparator" w:id="0">
    <w:p w14:paraId="45A1D585" w14:textId="77777777" w:rsidR="00E62DB7" w:rsidRDefault="00E62DB7">
      <w:r>
        <w:continuationSeparator/>
      </w:r>
    </w:p>
  </w:endnote>
  <w:endnote w:type="continuationNotice" w:id="1">
    <w:p w14:paraId="64B4D86F" w14:textId="77777777" w:rsidR="00E62DB7" w:rsidRDefault="00E62DB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D9C278" w14:textId="77777777" w:rsidR="002B3C70" w:rsidRDefault="002B3C7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D06276B" w14:textId="77777777" w:rsidR="002B3C70" w:rsidRDefault="002B3C7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5DFC69" w14:textId="77777777" w:rsidR="002B3C70" w:rsidRDefault="002B3C70">
    <w:pPr>
      <w:pStyle w:val="Footer"/>
      <w:framePr w:wrap="around" w:vAnchor="text" w:hAnchor="margin" w:xAlign="right" w:y="1"/>
      <w:rPr>
        <w:rStyle w:val="PageNumber"/>
      </w:rPr>
    </w:pPr>
  </w:p>
  <w:p w14:paraId="60A9347D" w14:textId="77777777" w:rsidR="002B3C70" w:rsidRDefault="002B3C7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D4A909" w14:textId="77777777" w:rsidR="00E62DB7" w:rsidRDefault="00E62DB7">
      <w:r>
        <w:separator/>
      </w:r>
    </w:p>
  </w:footnote>
  <w:footnote w:type="continuationSeparator" w:id="0">
    <w:p w14:paraId="79A13FDE" w14:textId="77777777" w:rsidR="00E62DB7" w:rsidRDefault="00E62DB7">
      <w:r>
        <w:continuationSeparator/>
      </w:r>
    </w:p>
  </w:footnote>
  <w:footnote w:type="continuationNotice" w:id="1">
    <w:p w14:paraId="62464991" w14:textId="77777777" w:rsidR="00E62DB7" w:rsidRDefault="00E62DB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9537C8"/>
    <w:multiLevelType w:val="singleLevel"/>
    <w:tmpl w:val="B9C09148"/>
    <w:lvl w:ilvl="0">
      <w:start w:val="1"/>
      <w:numFmt w:val="decimal"/>
      <w:pStyle w:val="AMIAReference"/>
      <w:lvlText w:val="%1."/>
      <w:lvlJc w:val="left"/>
      <w:pPr>
        <w:tabs>
          <w:tab w:val="num" w:pos="360"/>
        </w:tabs>
        <w:ind w:left="360" w:hanging="36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0"/>
  <w:doNotDisplayPageBoundarie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D81"/>
    <w:rsid w:val="00001FF6"/>
    <w:rsid w:val="00046679"/>
    <w:rsid w:val="000573DE"/>
    <w:rsid w:val="000607E4"/>
    <w:rsid w:val="00061121"/>
    <w:rsid w:val="000675AD"/>
    <w:rsid w:val="00070872"/>
    <w:rsid w:val="0007124A"/>
    <w:rsid w:val="00074BB9"/>
    <w:rsid w:val="000876BD"/>
    <w:rsid w:val="00087A38"/>
    <w:rsid w:val="000926AE"/>
    <w:rsid w:val="00095515"/>
    <w:rsid w:val="000A3D84"/>
    <w:rsid w:val="000A7A16"/>
    <w:rsid w:val="000F11C1"/>
    <w:rsid w:val="000F2296"/>
    <w:rsid w:val="000F41E2"/>
    <w:rsid w:val="000F43C6"/>
    <w:rsid w:val="000F7151"/>
    <w:rsid w:val="00114354"/>
    <w:rsid w:val="00114C20"/>
    <w:rsid w:val="00120460"/>
    <w:rsid w:val="00123B63"/>
    <w:rsid w:val="00136F07"/>
    <w:rsid w:val="0014516E"/>
    <w:rsid w:val="00146C09"/>
    <w:rsid w:val="00151C0E"/>
    <w:rsid w:val="00152DBC"/>
    <w:rsid w:val="001606F0"/>
    <w:rsid w:val="001612B2"/>
    <w:rsid w:val="0016250D"/>
    <w:rsid w:val="00165A66"/>
    <w:rsid w:val="001710CB"/>
    <w:rsid w:val="0019297B"/>
    <w:rsid w:val="001A47CF"/>
    <w:rsid w:val="001D1567"/>
    <w:rsid w:val="001D1BCD"/>
    <w:rsid w:val="001D3422"/>
    <w:rsid w:val="001D555C"/>
    <w:rsid w:val="001D5D81"/>
    <w:rsid w:val="001E2268"/>
    <w:rsid w:val="001E3AA9"/>
    <w:rsid w:val="001E69A4"/>
    <w:rsid w:val="002127E5"/>
    <w:rsid w:val="0021562F"/>
    <w:rsid w:val="002341D4"/>
    <w:rsid w:val="00241239"/>
    <w:rsid w:val="002425AD"/>
    <w:rsid w:val="00267533"/>
    <w:rsid w:val="002739EB"/>
    <w:rsid w:val="002768C0"/>
    <w:rsid w:val="002872A1"/>
    <w:rsid w:val="002957EA"/>
    <w:rsid w:val="002A6160"/>
    <w:rsid w:val="002B3C70"/>
    <w:rsid w:val="002C1941"/>
    <w:rsid w:val="002C1EF6"/>
    <w:rsid w:val="002C30F4"/>
    <w:rsid w:val="002C34D1"/>
    <w:rsid w:val="002C737C"/>
    <w:rsid w:val="002D62A4"/>
    <w:rsid w:val="002D7C5A"/>
    <w:rsid w:val="002E390E"/>
    <w:rsid w:val="002E593E"/>
    <w:rsid w:val="002F58BD"/>
    <w:rsid w:val="00301843"/>
    <w:rsid w:val="00305A9B"/>
    <w:rsid w:val="00322966"/>
    <w:rsid w:val="00323F4F"/>
    <w:rsid w:val="003256DE"/>
    <w:rsid w:val="00325BDA"/>
    <w:rsid w:val="00332369"/>
    <w:rsid w:val="00335B31"/>
    <w:rsid w:val="0035275E"/>
    <w:rsid w:val="00353D58"/>
    <w:rsid w:val="0035565E"/>
    <w:rsid w:val="00361E2B"/>
    <w:rsid w:val="00392497"/>
    <w:rsid w:val="00397F34"/>
    <w:rsid w:val="003A14D8"/>
    <w:rsid w:val="003A57F1"/>
    <w:rsid w:val="003B0234"/>
    <w:rsid w:val="003B4B4A"/>
    <w:rsid w:val="003C0115"/>
    <w:rsid w:val="003C5092"/>
    <w:rsid w:val="003C680D"/>
    <w:rsid w:val="003C69C8"/>
    <w:rsid w:val="003C6BE4"/>
    <w:rsid w:val="003C71F7"/>
    <w:rsid w:val="003D0AD2"/>
    <w:rsid w:val="003D19F4"/>
    <w:rsid w:val="003D5748"/>
    <w:rsid w:val="003D7754"/>
    <w:rsid w:val="004019EA"/>
    <w:rsid w:val="004464BE"/>
    <w:rsid w:val="00447D9D"/>
    <w:rsid w:val="00452664"/>
    <w:rsid w:val="00460A73"/>
    <w:rsid w:val="00474686"/>
    <w:rsid w:val="00477061"/>
    <w:rsid w:val="00483888"/>
    <w:rsid w:val="004A07B8"/>
    <w:rsid w:val="004B1DBF"/>
    <w:rsid w:val="004E26D7"/>
    <w:rsid w:val="004F5F17"/>
    <w:rsid w:val="004F7751"/>
    <w:rsid w:val="00500BD7"/>
    <w:rsid w:val="00502BF0"/>
    <w:rsid w:val="0050324B"/>
    <w:rsid w:val="005143BB"/>
    <w:rsid w:val="005221BB"/>
    <w:rsid w:val="0053151B"/>
    <w:rsid w:val="00536271"/>
    <w:rsid w:val="00540648"/>
    <w:rsid w:val="005413C1"/>
    <w:rsid w:val="0054530B"/>
    <w:rsid w:val="005557F5"/>
    <w:rsid w:val="00556080"/>
    <w:rsid w:val="005629EA"/>
    <w:rsid w:val="00562D9E"/>
    <w:rsid w:val="00582314"/>
    <w:rsid w:val="00590340"/>
    <w:rsid w:val="00591E81"/>
    <w:rsid w:val="005A0286"/>
    <w:rsid w:val="005A548C"/>
    <w:rsid w:val="005B0D62"/>
    <w:rsid w:val="005B0F09"/>
    <w:rsid w:val="005B3484"/>
    <w:rsid w:val="005B7AD7"/>
    <w:rsid w:val="005C23EA"/>
    <w:rsid w:val="005C6B6C"/>
    <w:rsid w:val="005D0881"/>
    <w:rsid w:val="005D2317"/>
    <w:rsid w:val="005D5A4C"/>
    <w:rsid w:val="005D5D14"/>
    <w:rsid w:val="005E7B0D"/>
    <w:rsid w:val="005F188D"/>
    <w:rsid w:val="005F3780"/>
    <w:rsid w:val="00600255"/>
    <w:rsid w:val="00607567"/>
    <w:rsid w:val="006111EB"/>
    <w:rsid w:val="00623BBB"/>
    <w:rsid w:val="006242B2"/>
    <w:rsid w:val="00630CF3"/>
    <w:rsid w:val="00632EF7"/>
    <w:rsid w:val="00634931"/>
    <w:rsid w:val="00636609"/>
    <w:rsid w:val="0065546B"/>
    <w:rsid w:val="00657324"/>
    <w:rsid w:val="00693BB3"/>
    <w:rsid w:val="0069458E"/>
    <w:rsid w:val="00696DA5"/>
    <w:rsid w:val="006A0A8B"/>
    <w:rsid w:val="006A2238"/>
    <w:rsid w:val="006A2950"/>
    <w:rsid w:val="006A5160"/>
    <w:rsid w:val="006C79A8"/>
    <w:rsid w:val="006D0A2C"/>
    <w:rsid w:val="006D2C1C"/>
    <w:rsid w:val="006E41ED"/>
    <w:rsid w:val="00701090"/>
    <w:rsid w:val="00717FC9"/>
    <w:rsid w:val="00726B30"/>
    <w:rsid w:val="00737F46"/>
    <w:rsid w:val="00741BE9"/>
    <w:rsid w:val="00744D65"/>
    <w:rsid w:val="007807D7"/>
    <w:rsid w:val="00781CE1"/>
    <w:rsid w:val="007A3044"/>
    <w:rsid w:val="007B0F22"/>
    <w:rsid w:val="007B3573"/>
    <w:rsid w:val="007B4D7E"/>
    <w:rsid w:val="007C5BDF"/>
    <w:rsid w:val="007D11BC"/>
    <w:rsid w:val="007D4536"/>
    <w:rsid w:val="007D63B4"/>
    <w:rsid w:val="007E534A"/>
    <w:rsid w:val="007F11F5"/>
    <w:rsid w:val="00802C5D"/>
    <w:rsid w:val="00803CED"/>
    <w:rsid w:val="0081107C"/>
    <w:rsid w:val="008122D7"/>
    <w:rsid w:val="008203DE"/>
    <w:rsid w:val="00820B73"/>
    <w:rsid w:val="00830A63"/>
    <w:rsid w:val="008310C2"/>
    <w:rsid w:val="008337E1"/>
    <w:rsid w:val="00842C12"/>
    <w:rsid w:val="008443DC"/>
    <w:rsid w:val="008508AC"/>
    <w:rsid w:val="00857029"/>
    <w:rsid w:val="008727AB"/>
    <w:rsid w:val="0087715E"/>
    <w:rsid w:val="008803D4"/>
    <w:rsid w:val="00883CF0"/>
    <w:rsid w:val="00885900"/>
    <w:rsid w:val="00887953"/>
    <w:rsid w:val="00895E92"/>
    <w:rsid w:val="008978E5"/>
    <w:rsid w:val="008A2085"/>
    <w:rsid w:val="008A2E55"/>
    <w:rsid w:val="008A7CE1"/>
    <w:rsid w:val="008C2FFE"/>
    <w:rsid w:val="008C5F32"/>
    <w:rsid w:val="008D46A0"/>
    <w:rsid w:val="008E273B"/>
    <w:rsid w:val="008E6278"/>
    <w:rsid w:val="008F6A6F"/>
    <w:rsid w:val="00907431"/>
    <w:rsid w:val="0091269E"/>
    <w:rsid w:val="00920FC6"/>
    <w:rsid w:val="00922EC4"/>
    <w:rsid w:val="00924B71"/>
    <w:rsid w:val="00935743"/>
    <w:rsid w:val="00940944"/>
    <w:rsid w:val="00941CA8"/>
    <w:rsid w:val="00956145"/>
    <w:rsid w:val="00956D31"/>
    <w:rsid w:val="009610C9"/>
    <w:rsid w:val="00961D5D"/>
    <w:rsid w:val="00961FF6"/>
    <w:rsid w:val="00976253"/>
    <w:rsid w:val="009953BE"/>
    <w:rsid w:val="00995750"/>
    <w:rsid w:val="009A365C"/>
    <w:rsid w:val="009A55F9"/>
    <w:rsid w:val="009A7C7F"/>
    <w:rsid w:val="009B6580"/>
    <w:rsid w:val="009F11C2"/>
    <w:rsid w:val="00A100A7"/>
    <w:rsid w:val="00A10A3C"/>
    <w:rsid w:val="00A12050"/>
    <w:rsid w:val="00A17CA3"/>
    <w:rsid w:val="00A21C97"/>
    <w:rsid w:val="00A255F2"/>
    <w:rsid w:val="00A33F82"/>
    <w:rsid w:val="00A514B3"/>
    <w:rsid w:val="00A5423F"/>
    <w:rsid w:val="00A67CBD"/>
    <w:rsid w:val="00A75C47"/>
    <w:rsid w:val="00A818D2"/>
    <w:rsid w:val="00A87AC7"/>
    <w:rsid w:val="00A92594"/>
    <w:rsid w:val="00A9399C"/>
    <w:rsid w:val="00A95BBC"/>
    <w:rsid w:val="00AA5264"/>
    <w:rsid w:val="00AA602A"/>
    <w:rsid w:val="00AB48EC"/>
    <w:rsid w:val="00AC2719"/>
    <w:rsid w:val="00AD4F44"/>
    <w:rsid w:val="00AF0CAC"/>
    <w:rsid w:val="00AF13D5"/>
    <w:rsid w:val="00AF2A0A"/>
    <w:rsid w:val="00AF2B5A"/>
    <w:rsid w:val="00B05DD5"/>
    <w:rsid w:val="00B12BFB"/>
    <w:rsid w:val="00B15F26"/>
    <w:rsid w:val="00B17123"/>
    <w:rsid w:val="00B20BB0"/>
    <w:rsid w:val="00B223C9"/>
    <w:rsid w:val="00B26AF1"/>
    <w:rsid w:val="00B3298D"/>
    <w:rsid w:val="00B460F6"/>
    <w:rsid w:val="00B52D0E"/>
    <w:rsid w:val="00B542DC"/>
    <w:rsid w:val="00B547B7"/>
    <w:rsid w:val="00B746BD"/>
    <w:rsid w:val="00B8223C"/>
    <w:rsid w:val="00B85C68"/>
    <w:rsid w:val="00BA069D"/>
    <w:rsid w:val="00BA3C08"/>
    <w:rsid w:val="00BB0293"/>
    <w:rsid w:val="00BC12BB"/>
    <w:rsid w:val="00BC1DF0"/>
    <w:rsid w:val="00BC36FC"/>
    <w:rsid w:val="00BC715B"/>
    <w:rsid w:val="00BD0C99"/>
    <w:rsid w:val="00BD30DA"/>
    <w:rsid w:val="00BE3AEF"/>
    <w:rsid w:val="00BE54EA"/>
    <w:rsid w:val="00BF398D"/>
    <w:rsid w:val="00C00476"/>
    <w:rsid w:val="00C055B4"/>
    <w:rsid w:val="00C109E4"/>
    <w:rsid w:val="00C25098"/>
    <w:rsid w:val="00C2604B"/>
    <w:rsid w:val="00C43165"/>
    <w:rsid w:val="00C435D4"/>
    <w:rsid w:val="00C44DA8"/>
    <w:rsid w:val="00C453A5"/>
    <w:rsid w:val="00C46893"/>
    <w:rsid w:val="00C60B49"/>
    <w:rsid w:val="00C62392"/>
    <w:rsid w:val="00C73CCC"/>
    <w:rsid w:val="00C84131"/>
    <w:rsid w:val="00C919C5"/>
    <w:rsid w:val="00C928A1"/>
    <w:rsid w:val="00CA1D90"/>
    <w:rsid w:val="00CA1EF1"/>
    <w:rsid w:val="00CA2B49"/>
    <w:rsid w:val="00CA52ED"/>
    <w:rsid w:val="00CB22DC"/>
    <w:rsid w:val="00CB281A"/>
    <w:rsid w:val="00CB6242"/>
    <w:rsid w:val="00CC3701"/>
    <w:rsid w:val="00CC77CB"/>
    <w:rsid w:val="00CD1CE4"/>
    <w:rsid w:val="00CD75EA"/>
    <w:rsid w:val="00CE47ED"/>
    <w:rsid w:val="00CE63C3"/>
    <w:rsid w:val="00CF5F6D"/>
    <w:rsid w:val="00D2693D"/>
    <w:rsid w:val="00D26E81"/>
    <w:rsid w:val="00D27DCD"/>
    <w:rsid w:val="00D35F76"/>
    <w:rsid w:val="00D42E05"/>
    <w:rsid w:val="00D50128"/>
    <w:rsid w:val="00D507C5"/>
    <w:rsid w:val="00D72377"/>
    <w:rsid w:val="00D739C1"/>
    <w:rsid w:val="00D94199"/>
    <w:rsid w:val="00DA0469"/>
    <w:rsid w:val="00DA4570"/>
    <w:rsid w:val="00DA5302"/>
    <w:rsid w:val="00DC026C"/>
    <w:rsid w:val="00DC115A"/>
    <w:rsid w:val="00DC4B18"/>
    <w:rsid w:val="00DC6BAB"/>
    <w:rsid w:val="00DD63B6"/>
    <w:rsid w:val="00DF5E64"/>
    <w:rsid w:val="00DF6F8D"/>
    <w:rsid w:val="00E06DEE"/>
    <w:rsid w:val="00E1053B"/>
    <w:rsid w:val="00E17CD2"/>
    <w:rsid w:val="00E274CD"/>
    <w:rsid w:val="00E34217"/>
    <w:rsid w:val="00E40A62"/>
    <w:rsid w:val="00E44D47"/>
    <w:rsid w:val="00E54771"/>
    <w:rsid w:val="00E576B2"/>
    <w:rsid w:val="00E62DB7"/>
    <w:rsid w:val="00E6503E"/>
    <w:rsid w:val="00E81D55"/>
    <w:rsid w:val="00E8353B"/>
    <w:rsid w:val="00EA3C75"/>
    <w:rsid w:val="00EA794E"/>
    <w:rsid w:val="00EC288F"/>
    <w:rsid w:val="00EC29D2"/>
    <w:rsid w:val="00EC4DAD"/>
    <w:rsid w:val="00EC774E"/>
    <w:rsid w:val="00ED21D1"/>
    <w:rsid w:val="00F02782"/>
    <w:rsid w:val="00F063B7"/>
    <w:rsid w:val="00F1135F"/>
    <w:rsid w:val="00F17F2E"/>
    <w:rsid w:val="00F239D9"/>
    <w:rsid w:val="00F56362"/>
    <w:rsid w:val="00F66156"/>
    <w:rsid w:val="00F7158E"/>
    <w:rsid w:val="00F84688"/>
    <w:rsid w:val="00F919E4"/>
    <w:rsid w:val="00FA0361"/>
    <w:rsid w:val="00FA1EA6"/>
    <w:rsid w:val="00FC6969"/>
    <w:rsid w:val="00FD64C2"/>
    <w:rsid w:val="00FE33CD"/>
    <w:rsid w:val="00FF17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581A1BF"/>
  <w15:docId w15:val="{B8B8E85A-B672-4EB1-B6C2-F9E6C8A5A7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바탕"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toa heading" w:semiHidden="1" w:unhideWhenUsed="1"/>
    <w:lsdException w:name="List" w:semiHidden="1" w:uiPriority="99"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iPriority="9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iPriority="99"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D3422"/>
  </w:style>
  <w:style w:type="paragraph" w:styleId="Heading1">
    <w:name w:val="heading 1"/>
    <w:basedOn w:val="Normal"/>
    <w:next w:val="BodyText"/>
    <w:link w:val="Heading1Char"/>
    <w:uiPriority w:val="9"/>
    <w:qFormat/>
    <w:rsid w:val="001D3422"/>
    <w:pPr>
      <w:keepNext/>
      <w:keepLines/>
      <w:suppressAutoHyphens/>
      <w:spacing w:before="240" w:after="120"/>
      <w:jc w:val="center"/>
      <w:outlineLvl w:val="0"/>
    </w:pPr>
    <w:rPr>
      <w:b/>
      <w:spacing w:val="-3"/>
      <w:kern w:val="28"/>
    </w:rPr>
  </w:style>
  <w:style w:type="paragraph" w:styleId="Heading2">
    <w:name w:val="heading 2"/>
    <w:basedOn w:val="Normal"/>
    <w:next w:val="Normal"/>
    <w:link w:val="Heading2Char"/>
    <w:uiPriority w:val="9"/>
    <w:qFormat/>
    <w:rsid w:val="001D3422"/>
    <w:pPr>
      <w:keepNext/>
      <w:jc w:val="center"/>
      <w:outlineLvl w:val="1"/>
    </w:pPr>
    <w:rPr>
      <w:b/>
      <w:sz w:val="24"/>
    </w:rPr>
  </w:style>
  <w:style w:type="paragraph" w:styleId="Heading5">
    <w:name w:val="heading 5"/>
    <w:basedOn w:val="Normal"/>
    <w:next w:val="Normal"/>
    <w:link w:val="Heading5Char"/>
    <w:uiPriority w:val="9"/>
    <w:qFormat/>
    <w:rsid w:val="001D3422"/>
    <w:pPr>
      <w:keepNext/>
      <w:jc w:val="center"/>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23B0"/>
    <w:rPr>
      <w:rFonts w:ascii="Cambria" w:eastAsia="맑은 고딕" w:hAnsi="Cambria" w:cs="Times New Roman"/>
      <w:b/>
      <w:bCs/>
      <w:kern w:val="32"/>
      <w:sz w:val="32"/>
      <w:szCs w:val="32"/>
    </w:rPr>
  </w:style>
  <w:style w:type="character" w:customStyle="1" w:styleId="Heading2Char">
    <w:name w:val="Heading 2 Char"/>
    <w:basedOn w:val="DefaultParagraphFont"/>
    <w:link w:val="Heading2"/>
    <w:uiPriority w:val="9"/>
    <w:semiHidden/>
    <w:rsid w:val="006323B0"/>
    <w:rPr>
      <w:rFonts w:ascii="Cambria" w:eastAsia="맑은 고딕" w:hAnsi="Cambria" w:cs="Times New Roman"/>
      <w:b/>
      <w:bCs/>
      <w:i/>
      <w:iCs/>
      <w:sz w:val="28"/>
      <w:szCs w:val="28"/>
    </w:rPr>
  </w:style>
  <w:style w:type="character" w:customStyle="1" w:styleId="Heading5Char">
    <w:name w:val="Heading 5 Char"/>
    <w:basedOn w:val="DefaultParagraphFont"/>
    <w:link w:val="Heading5"/>
    <w:uiPriority w:val="9"/>
    <w:semiHidden/>
    <w:rsid w:val="006323B0"/>
    <w:rPr>
      <w:rFonts w:ascii="Calibri" w:eastAsia="맑은 고딕" w:hAnsi="Calibri" w:cs="Times New Roman"/>
      <w:b/>
      <w:bCs/>
      <w:i/>
      <w:iCs/>
      <w:sz w:val="26"/>
      <w:szCs w:val="26"/>
    </w:rPr>
  </w:style>
  <w:style w:type="paragraph" w:styleId="BodyText">
    <w:name w:val="Body Text"/>
    <w:basedOn w:val="Normal"/>
    <w:link w:val="BodyTextChar"/>
    <w:uiPriority w:val="99"/>
    <w:rsid w:val="00CD1CE4"/>
    <w:pPr>
      <w:suppressAutoHyphens/>
      <w:spacing w:after="160"/>
      <w:jc w:val="both"/>
    </w:pPr>
  </w:style>
  <w:style w:type="character" w:customStyle="1" w:styleId="BodyTextChar">
    <w:name w:val="Body Text Char"/>
    <w:basedOn w:val="DefaultParagraphFont"/>
    <w:link w:val="BodyText"/>
    <w:uiPriority w:val="99"/>
    <w:semiHidden/>
    <w:rsid w:val="006323B0"/>
  </w:style>
  <w:style w:type="paragraph" w:styleId="Date">
    <w:name w:val="Date"/>
    <w:basedOn w:val="BodyText"/>
    <w:link w:val="DateChar"/>
    <w:uiPriority w:val="99"/>
    <w:rsid w:val="001D3422"/>
    <w:pPr>
      <w:jc w:val="center"/>
    </w:pPr>
  </w:style>
  <w:style w:type="character" w:customStyle="1" w:styleId="DateChar">
    <w:name w:val="Date Char"/>
    <w:basedOn w:val="DefaultParagraphFont"/>
    <w:link w:val="Date"/>
    <w:uiPriority w:val="99"/>
    <w:semiHidden/>
    <w:rsid w:val="006323B0"/>
  </w:style>
  <w:style w:type="character" w:styleId="EndnoteReference">
    <w:name w:val="endnote reference"/>
    <w:basedOn w:val="DefaultParagraphFont"/>
    <w:uiPriority w:val="99"/>
    <w:semiHidden/>
    <w:rsid w:val="001D3422"/>
    <w:rPr>
      <w:vertAlign w:val="superscript"/>
    </w:rPr>
  </w:style>
  <w:style w:type="paragraph" w:styleId="EndnoteText">
    <w:name w:val="endnote text"/>
    <w:basedOn w:val="Normal"/>
    <w:link w:val="EndnoteTextChar"/>
    <w:uiPriority w:val="99"/>
    <w:semiHidden/>
    <w:rsid w:val="001D3422"/>
    <w:pPr>
      <w:tabs>
        <w:tab w:val="left" w:pos="187"/>
      </w:tabs>
      <w:suppressAutoHyphens/>
      <w:spacing w:after="120" w:line="220" w:lineRule="exact"/>
      <w:ind w:left="187" w:hanging="187"/>
      <w:jc w:val="both"/>
    </w:pPr>
    <w:rPr>
      <w:spacing w:val="-3"/>
    </w:rPr>
  </w:style>
  <w:style w:type="character" w:customStyle="1" w:styleId="EndnoteTextChar">
    <w:name w:val="Endnote Text Char"/>
    <w:basedOn w:val="DefaultParagraphFont"/>
    <w:link w:val="EndnoteText"/>
    <w:uiPriority w:val="99"/>
    <w:semiHidden/>
    <w:rsid w:val="006323B0"/>
  </w:style>
  <w:style w:type="paragraph" w:customStyle="1" w:styleId="abstract">
    <w:name w:val="abstract"/>
    <w:basedOn w:val="BodyText"/>
    <w:rsid w:val="001D3422"/>
    <w:rPr>
      <w:i/>
    </w:rPr>
  </w:style>
  <w:style w:type="paragraph" w:customStyle="1" w:styleId="AMIABodyText">
    <w:name w:val="AMIA Body Text"/>
    <w:basedOn w:val="Normal"/>
    <w:rsid w:val="003D5748"/>
    <w:pPr>
      <w:suppressAutoHyphens/>
      <w:spacing w:after="120"/>
      <w:jc w:val="both"/>
    </w:pPr>
  </w:style>
  <w:style w:type="paragraph" w:styleId="BodyTextIndent">
    <w:name w:val="Body Text Indent"/>
    <w:basedOn w:val="Normal"/>
    <w:link w:val="BodyTextIndentChar"/>
    <w:uiPriority w:val="99"/>
    <w:rsid w:val="001D3422"/>
    <w:pPr>
      <w:spacing w:line="480" w:lineRule="auto"/>
      <w:ind w:firstLine="720"/>
    </w:pPr>
    <w:rPr>
      <w:sz w:val="24"/>
    </w:rPr>
  </w:style>
  <w:style w:type="character" w:customStyle="1" w:styleId="BodyTextIndentChar">
    <w:name w:val="Body Text Indent Char"/>
    <w:basedOn w:val="DefaultParagraphFont"/>
    <w:link w:val="BodyTextIndent"/>
    <w:uiPriority w:val="99"/>
    <w:semiHidden/>
    <w:rsid w:val="006323B0"/>
  </w:style>
  <w:style w:type="paragraph" w:styleId="BodyTextIndent2">
    <w:name w:val="Body Text Indent 2"/>
    <w:basedOn w:val="Normal"/>
    <w:link w:val="BodyTextIndent2Char"/>
    <w:uiPriority w:val="99"/>
    <w:rsid w:val="001D3422"/>
    <w:pPr>
      <w:spacing w:line="480" w:lineRule="auto"/>
      <w:ind w:firstLine="720"/>
    </w:pPr>
    <w:rPr>
      <w:b/>
      <w:sz w:val="24"/>
    </w:rPr>
  </w:style>
  <w:style w:type="character" w:customStyle="1" w:styleId="BodyTextIndent2Char">
    <w:name w:val="Body Text Indent 2 Char"/>
    <w:basedOn w:val="DefaultParagraphFont"/>
    <w:link w:val="BodyTextIndent2"/>
    <w:uiPriority w:val="99"/>
    <w:semiHidden/>
    <w:rsid w:val="006323B0"/>
  </w:style>
  <w:style w:type="paragraph" w:styleId="BodyText3">
    <w:name w:val="Body Text 3"/>
    <w:basedOn w:val="Normal"/>
    <w:link w:val="BodyText3Char"/>
    <w:uiPriority w:val="99"/>
    <w:rsid w:val="001D3422"/>
    <w:rPr>
      <w:i/>
    </w:rPr>
  </w:style>
  <w:style w:type="character" w:customStyle="1" w:styleId="BodyText3Char">
    <w:name w:val="Body Text 3 Char"/>
    <w:basedOn w:val="DefaultParagraphFont"/>
    <w:link w:val="BodyText3"/>
    <w:uiPriority w:val="99"/>
    <w:semiHidden/>
    <w:rsid w:val="006323B0"/>
    <w:rPr>
      <w:sz w:val="16"/>
      <w:szCs w:val="16"/>
    </w:rPr>
  </w:style>
  <w:style w:type="paragraph" w:styleId="List">
    <w:name w:val="List"/>
    <w:basedOn w:val="Normal"/>
    <w:uiPriority w:val="99"/>
    <w:rsid w:val="001D3422"/>
    <w:pPr>
      <w:ind w:left="360" w:hanging="360"/>
    </w:pPr>
  </w:style>
  <w:style w:type="paragraph" w:styleId="Footer">
    <w:name w:val="footer"/>
    <w:basedOn w:val="Normal"/>
    <w:link w:val="FooterChar"/>
    <w:uiPriority w:val="99"/>
    <w:rsid w:val="001D3422"/>
    <w:pPr>
      <w:tabs>
        <w:tab w:val="center" w:pos="4320"/>
        <w:tab w:val="right" w:pos="8640"/>
      </w:tabs>
    </w:pPr>
  </w:style>
  <w:style w:type="character" w:customStyle="1" w:styleId="FooterChar">
    <w:name w:val="Footer Char"/>
    <w:basedOn w:val="DefaultParagraphFont"/>
    <w:link w:val="Footer"/>
    <w:uiPriority w:val="99"/>
    <w:semiHidden/>
    <w:rsid w:val="006323B0"/>
  </w:style>
  <w:style w:type="character" w:styleId="PageNumber">
    <w:name w:val="page number"/>
    <w:basedOn w:val="DefaultParagraphFont"/>
    <w:uiPriority w:val="99"/>
    <w:rsid w:val="001D3422"/>
    <w:rPr>
      <w:rFonts w:cs="Times New Roman"/>
    </w:rPr>
  </w:style>
  <w:style w:type="paragraph" w:customStyle="1" w:styleId="AMIATitle">
    <w:name w:val="AMIA Title"/>
    <w:basedOn w:val="Normal"/>
    <w:next w:val="AMIAAuthors"/>
    <w:rsid w:val="003D5748"/>
    <w:pPr>
      <w:spacing w:after="280"/>
      <w:jc w:val="center"/>
    </w:pPr>
    <w:rPr>
      <w:b/>
      <w:sz w:val="28"/>
    </w:rPr>
  </w:style>
  <w:style w:type="paragraph" w:customStyle="1" w:styleId="AMIAAuthors">
    <w:name w:val="AMIA Authors"/>
    <w:basedOn w:val="Normal"/>
    <w:next w:val="AMIAAffiliations"/>
    <w:rsid w:val="00B547B7"/>
    <w:pPr>
      <w:jc w:val="center"/>
    </w:pPr>
    <w:rPr>
      <w:b/>
      <w:sz w:val="24"/>
    </w:rPr>
  </w:style>
  <w:style w:type="paragraph" w:customStyle="1" w:styleId="AMIAAffiliations">
    <w:name w:val="AMIA Affiliations"/>
    <w:basedOn w:val="Normal"/>
    <w:rsid w:val="00CD1CE4"/>
    <w:pPr>
      <w:spacing w:after="240"/>
      <w:jc w:val="center"/>
    </w:pPr>
    <w:rPr>
      <w:b/>
      <w:sz w:val="24"/>
    </w:rPr>
  </w:style>
  <w:style w:type="paragraph" w:customStyle="1" w:styleId="AMIAAbstract">
    <w:name w:val="AMIA Abstract"/>
    <w:basedOn w:val="Normal"/>
    <w:rsid w:val="00885900"/>
    <w:pPr>
      <w:spacing w:after="120"/>
      <w:jc w:val="both"/>
    </w:pPr>
    <w:rPr>
      <w:i/>
    </w:rPr>
  </w:style>
  <w:style w:type="paragraph" w:customStyle="1" w:styleId="AMIAHeading">
    <w:name w:val="AMIA Heading"/>
    <w:basedOn w:val="Normal"/>
    <w:rsid w:val="00BE54EA"/>
    <w:pPr>
      <w:keepNext/>
      <w:spacing w:before="120" w:after="120"/>
      <w:jc w:val="both"/>
      <w:outlineLvl w:val="0"/>
    </w:pPr>
    <w:rPr>
      <w:b/>
    </w:rPr>
  </w:style>
  <w:style w:type="paragraph" w:customStyle="1" w:styleId="AMIASuperscript">
    <w:name w:val="AMIA Superscript"/>
    <w:basedOn w:val="Normal"/>
    <w:link w:val="AMIASuperscriptChar"/>
    <w:rsid w:val="00DC4B18"/>
    <w:rPr>
      <w:sz w:val="16"/>
      <w:vertAlign w:val="superscript"/>
    </w:rPr>
  </w:style>
  <w:style w:type="paragraph" w:customStyle="1" w:styleId="AMIAAbstractHeading">
    <w:name w:val="AMIA Abstract Heading"/>
    <w:basedOn w:val="AMIAHeading"/>
    <w:rsid w:val="00BE54EA"/>
    <w:pPr>
      <w:spacing w:before="0"/>
    </w:pPr>
  </w:style>
  <w:style w:type="paragraph" w:customStyle="1" w:styleId="AMIAReferenceHeading">
    <w:name w:val="AMIA Reference Heading"/>
    <w:basedOn w:val="AMIAHeading"/>
    <w:rsid w:val="00885900"/>
    <w:pPr>
      <w:jc w:val="center"/>
    </w:pPr>
  </w:style>
  <w:style w:type="paragraph" w:customStyle="1" w:styleId="AMIAReference">
    <w:name w:val="AMIA Reference"/>
    <w:basedOn w:val="Normal"/>
    <w:rsid w:val="00726B30"/>
    <w:pPr>
      <w:numPr>
        <w:numId w:val="1"/>
      </w:numPr>
      <w:jc w:val="both"/>
    </w:pPr>
  </w:style>
  <w:style w:type="character" w:customStyle="1" w:styleId="AMIASuperscriptChar">
    <w:name w:val="AMIA Superscript Char"/>
    <w:basedOn w:val="DefaultParagraphFont"/>
    <w:link w:val="AMIASuperscript"/>
    <w:locked/>
    <w:rsid w:val="00590340"/>
    <w:rPr>
      <w:rFonts w:cs="Times New Roman"/>
      <w:sz w:val="16"/>
      <w:vertAlign w:val="superscript"/>
      <w:lang w:val="en-US" w:eastAsia="en-US" w:bidi="ar-SA"/>
    </w:rPr>
  </w:style>
  <w:style w:type="paragraph" w:styleId="Header">
    <w:name w:val="header"/>
    <w:basedOn w:val="Normal"/>
    <w:link w:val="HeaderChar"/>
    <w:uiPriority w:val="99"/>
    <w:rsid w:val="008E6278"/>
    <w:pPr>
      <w:tabs>
        <w:tab w:val="center" w:pos="4320"/>
        <w:tab w:val="right" w:pos="8640"/>
      </w:tabs>
    </w:pPr>
  </w:style>
  <w:style w:type="character" w:customStyle="1" w:styleId="HeaderChar">
    <w:name w:val="Header Char"/>
    <w:basedOn w:val="DefaultParagraphFont"/>
    <w:link w:val="Header"/>
    <w:uiPriority w:val="99"/>
    <w:semiHidden/>
    <w:rsid w:val="006323B0"/>
  </w:style>
  <w:style w:type="paragraph" w:styleId="BalloonText">
    <w:name w:val="Balloon Text"/>
    <w:basedOn w:val="Normal"/>
    <w:link w:val="BalloonTextChar"/>
    <w:rsid w:val="006A2950"/>
    <w:rPr>
      <w:rFonts w:ascii="Tahoma" w:hAnsi="Tahoma" w:cs="Tahoma"/>
      <w:sz w:val="16"/>
      <w:szCs w:val="16"/>
    </w:rPr>
  </w:style>
  <w:style w:type="character" w:customStyle="1" w:styleId="BalloonTextChar">
    <w:name w:val="Balloon Text Char"/>
    <w:basedOn w:val="DefaultParagraphFont"/>
    <w:link w:val="BalloonText"/>
    <w:rsid w:val="006A2950"/>
    <w:rPr>
      <w:rFonts w:ascii="Tahoma" w:hAnsi="Tahoma" w:cs="Tahoma"/>
      <w:sz w:val="16"/>
      <w:szCs w:val="16"/>
    </w:rPr>
  </w:style>
  <w:style w:type="character" w:styleId="CommentReference">
    <w:name w:val="annotation reference"/>
    <w:basedOn w:val="DefaultParagraphFont"/>
    <w:rsid w:val="00F17F2E"/>
    <w:rPr>
      <w:sz w:val="16"/>
      <w:szCs w:val="16"/>
    </w:rPr>
  </w:style>
  <w:style w:type="paragraph" w:styleId="CommentText">
    <w:name w:val="annotation text"/>
    <w:basedOn w:val="Normal"/>
    <w:link w:val="CommentTextChar"/>
    <w:rsid w:val="00F17F2E"/>
  </w:style>
  <w:style w:type="character" w:customStyle="1" w:styleId="CommentTextChar">
    <w:name w:val="Comment Text Char"/>
    <w:basedOn w:val="DefaultParagraphFont"/>
    <w:link w:val="CommentText"/>
    <w:rsid w:val="00F17F2E"/>
  </w:style>
  <w:style w:type="paragraph" w:styleId="CommentSubject">
    <w:name w:val="annotation subject"/>
    <w:basedOn w:val="CommentText"/>
    <w:next w:val="CommentText"/>
    <w:link w:val="CommentSubjectChar"/>
    <w:rsid w:val="00F17F2E"/>
    <w:rPr>
      <w:b/>
      <w:bCs/>
    </w:rPr>
  </w:style>
  <w:style w:type="character" w:customStyle="1" w:styleId="CommentSubjectChar">
    <w:name w:val="Comment Subject Char"/>
    <w:basedOn w:val="CommentTextChar"/>
    <w:link w:val="CommentSubject"/>
    <w:rsid w:val="00F17F2E"/>
    <w:rPr>
      <w:b/>
      <w:bCs/>
    </w:rPr>
  </w:style>
  <w:style w:type="table" w:styleId="TableGrid">
    <w:name w:val="Table Grid"/>
    <w:basedOn w:val="TableNormal"/>
    <w:rsid w:val="004770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semiHidden/>
    <w:unhideWhenUsed/>
    <w:rsid w:val="00AF13D5"/>
  </w:style>
  <w:style w:type="character" w:styleId="Hyperlink">
    <w:name w:val="Hyperlink"/>
    <w:basedOn w:val="DefaultParagraphFont"/>
    <w:unhideWhenUsed/>
    <w:rsid w:val="00A21C97"/>
    <w:rPr>
      <w:color w:val="0000FF" w:themeColor="hyperlink"/>
      <w:u w:val="single"/>
    </w:rPr>
  </w:style>
  <w:style w:type="character" w:styleId="UnresolvedMention">
    <w:name w:val="Unresolved Mention"/>
    <w:basedOn w:val="DefaultParagraphFont"/>
    <w:uiPriority w:val="99"/>
    <w:semiHidden/>
    <w:unhideWhenUsed/>
    <w:rsid w:val="00A21C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9127525">
      <w:bodyDiv w:val="1"/>
      <w:marLeft w:val="0"/>
      <w:marRight w:val="0"/>
      <w:marTop w:val="0"/>
      <w:marBottom w:val="0"/>
      <w:divBdr>
        <w:top w:val="none" w:sz="0" w:space="0" w:color="auto"/>
        <w:left w:val="none" w:sz="0" w:space="0" w:color="auto"/>
        <w:bottom w:val="none" w:sz="0" w:space="0" w:color="auto"/>
        <w:right w:val="none" w:sz="0" w:space="0" w:color="auto"/>
      </w:divBdr>
    </w:div>
    <w:div w:id="558519092">
      <w:bodyDiv w:val="1"/>
      <w:marLeft w:val="0"/>
      <w:marRight w:val="0"/>
      <w:marTop w:val="0"/>
      <w:marBottom w:val="0"/>
      <w:divBdr>
        <w:top w:val="none" w:sz="0" w:space="0" w:color="auto"/>
        <w:left w:val="none" w:sz="0" w:space="0" w:color="auto"/>
        <w:bottom w:val="none" w:sz="0" w:space="0" w:color="auto"/>
        <w:right w:val="none" w:sz="0" w:space="0" w:color="auto"/>
      </w:divBdr>
    </w:div>
    <w:div w:id="1218197928">
      <w:bodyDiv w:val="1"/>
      <w:marLeft w:val="0"/>
      <w:marRight w:val="0"/>
      <w:marTop w:val="0"/>
      <w:marBottom w:val="0"/>
      <w:divBdr>
        <w:top w:val="none" w:sz="0" w:space="0" w:color="auto"/>
        <w:left w:val="none" w:sz="0" w:space="0" w:color="auto"/>
        <w:bottom w:val="none" w:sz="0" w:space="0" w:color="auto"/>
        <w:right w:val="none" w:sz="0" w:space="0" w:color="auto"/>
      </w:divBdr>
    </w:div>
    <w:div w:id="1222133829">
      <w:bodyDiv w:val="1"/>
      <w:marLeft w:val="0"/>
      <w:marRight w:val="0"/>
      <w:marTop w:val="0"/>
      <w:marBottom w:val="0"/>
      <w:divBdr>
        <w:top w:val="none" w:sz="0" w:space="0" w:color="auto"/>
        <w:left w:val="none" w:sz="0" w:space="0" w:color="auto"/>
        <w:bottom w:val="none" w:sz="0" w:space="0" w:color="auto"/>
        <w:right w:val="none" w:sz="0" w:space="0" w:color="auto"/>
      </w:divBdr>
    </w:div>
    <w:div w:id="1332560956">
      <w:bodyDiv w:val="1"/>
      <w:marLeft w:val="0"/>
      <w:marRight w:val="0"/>
      <w:marTop w:val="0"/>
      <w:marBottom w:val="0"/>
      <w:divBdr>
        <w:top w:val="none" w:sz="0" w:space="0" w:color="auto"/>
        <w:left w:val="none" w:sz="0" w:space="0" w:color="auto"/>
        <w:bottom w:val="none" w:sz="0" w:space="0" w:color="auto"/>
        <w:right w:val="none" w:sz="0" w:space="0" w:color="auto"/>
      </w:divBdr>
    </w:div>
    <w:div w:id="1351646205">
      <w:bodyDiv w:val="1"/>
      <w:marLeft w:val="0"/>
      <w:marRight w:val="0"/>
      <w:marTop w:val="0"/>
      <w:marBottom w:val="0"/>
      <w:divBdr>
        <w:top w:val="none" w:sz="0" w:space="0" w:color="auto"/>
        <w:left w:val="none" w:sz="0" w:space="0" w:color="auto"/>
        <w:bottom w:val="none" w:sz="0" w:space="0" w:color="auto"/>
        <w:right w:val="none" w:sz="0" w:space="0" w:color="auto"/>
      </w:divBdr>
    </w:div>
    <w:div w:id="1573275809">
      <w:bodyDiv w:val="1"/>
      <w:marLeft w:val="0"/>
      <w:marRight w:val="0"/>
      <w:marTop w:val="0"/>
      <w:marBottom w:val="0"/>
      <w:divBdr>
        <w:top w:val="none" w:sz="0" w:space="0" w:color="auto"/>
        <w:left w:val="none" w:sz="0" w:space="0" w:color="auto"/>
        <w:bottom w:val="none" w:sz="0" w:space="0" w:color="auto"/>
        <w:right w:val="none" w:sz="0" w:space="0" w:color="auto"/>
      </w:divBdr>
    </w:div>
    <w:div w:id="1598292122">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ata.ohdsi.org/RanitidineCancerRisk/" TargetMode="Externa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yperlink" Target="https://github.com/ohdsi-studies/RanitidineCancerRisk"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8C2F337C840844B850A908DC2C160C9" ma:contentTypeVersion="9" ma:contentTypeDescription="Create a new document." ma:contentTypeScope="" ma:versionID="a8f5130312f81bf34c16be4629e2fad5">
  <xsd:schema xmlns:xsd="http://www.w3.org/2001/XMLSchema" xmlns:xs="http://www.w3.org/2001/XMLSchema" xmlns:p="http://schemas.microsoft.com/office/2006/metadata/properties" xmlns:ns2="6caed3c8-fb59-43a8-8b50-4ee1cdb72179" targetNamespace="http://schemas.microsoft.com/office/2006/metadata/properties" ma:root="true" ma:fieldsID="690782c2defcb5519905135aab034438" ns2:_="">
    <xsd:import namespace="6caed3c8-fb59-43a8-8b50-4ee1cdb7217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aed3c8-fb59-43a8-8b50-4ee1cdb721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6CDD254-3961-44F0-9598-1372591E762F}">
  <ds:schemaRefs>
    <ds:schemaRef ds:uri="http://schemas.openxmlformats.org/officeDocument/2006/bibliography"/>
  </ds:schemaRefs>
</ds:datastoreItem>
</file>

<file path=customXml/itemProps2.xml><?xml version="1.0" encoding="utf-8"?>
<ds:datastoreItem xmlns:ds="http://schemas.openxmlformats.org/officeDocument/2006/customXml" ds:itemID="{4537C70E-3554-4677-80E6-72D4D09D6F41}"/>
</file>

<file path=customXml/itemProps3.xml><?xml version="1.0" encoding="utf-8"?>
<ds:datastoreItem xmlns:ds="http://schemas.openxmlformats.org/officeDocument/2006/customXml" ds:itemID="{35A4D286-017D-4CD0-9F27-4DB06CD51C93}"/>
</file>

<file path=customXml/itemProps4.xml><?xml version="1.0" encoding="utf-8"?>
<ds:datastoreItem xmlns:ds="http://schemas.openxmlformats.org/officeDocument/2006/customXml" ds:itemID="{8C997168-617C-4D81-B768-B92859520276}"/>
</file>

<file path=docProps/app.xml><?xml version="1.0" encoding="utf-8"?>
<Properties xmlns="http://schemas.openxmlformats.org/officeDocument/2006/extended-properties" xmlns:vt="http://schemas.openxmlformats.org/officeDocument/2006/docPropsVTypes">
  <Template>Normal</Template>
  <TotalTime>27</TotalTime>
  <Pages>5</Pages>
  <Words>1230</Words>
  <Characters>7915</Characters>
  <Application>Microsoft Office Word</Application>
  <DocSecurity>0</DocSecurity>
  <Lines>65</Lines>
  <Paragraphs>18</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The Title of the Article</vt:lpstr>
      <vt:lpstr>The Title of the Article</vt:lpstr>
    </vt:vector>
  </TitlesOfParts>
  <Company>Partners HealthCare System, Inc.</Company>
  <LinksUpToDate>false</LinksUpToDate>
  <CharactersWithSpaces>9127</CharactersWithSpaces>
  <SharedDoc>false</SharedDoc>
  <HLinks>
    <vt:vector size="12" baseType="variant">
      <vt:variant>
        <vt:i4>6225929</vt:i4>
      </vt:variant>
      <vt:variant>
        <vt:i4>3</vt:i4>
      </vt:variant>
      <vt:variant>
        <vt:i4>0</vt:i4>
      </vt:variant>
      <vt:variant>
        <vt:i4>5</vt:i4>
      </vt:variant>
      <vt:variant>
        <vt:lpwstr>https://data.ohdsi.org/RanitidineCancerRisk/</vt:lpwstr>
      </vt:variant>
      <vt:variant>
        <vt:lpwstr/>
      </vt:variant>
      <vt:variant>
        <vt:i4>589904</vt:i4>
      </vt:variant>
      <vt:variant>
        <vt:i4>0</vt:i4>
      </vt:variant>
      <vt:variant>
        <vt:i4>0</vt:i4>
      </vt:variant>
      <vt:variant>
        <vt:i4>5</vt:i4>
      </vt:variant>
      <vt:variant>
        <vt:lpwstr>https://github.com/ohdsi-studies/RanitidineCancerRisk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Title of the Article</dc:title>
  <dc:subject/>
  <dc:creator>Peter Rijnbeek</dc:creator>
  <cp:keywords/>
  <cp:lastModifiedBy>승찬 유</cp:lastModifiedBy>
  <cp:revision>14</cp:revision>
  <cp:lastPrinted>2000-03-09T14:11:00Z</cp:lastPrinted>
  <dcterms:created xsi:type="dcterms:W3CDTF">2020-07-16T07:58:00Z</dcterms:created>
  <dcterms:modified xsi:type="dcterms:W3CDTF">2020-07-16T08:25:00Z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0x01010088C2F337C840844B850A908DC2C160C9</vt:lpwstr>
  </property>
</Properties>
</file>