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37FD5" w:rsidRDefault="00537FD5">
      <w:pPr>
        <w:rPr>
          <w:sz w:val="24"/>
          <w:szCs w:val="24"/>
        </w:rPr>
      </w:pPr>
      <w:bookmarkStart w:id="0" w:name="_gjdgxs" w:colFirst="0" w:colLast="0"/>
      <w:bookmarkEnd w:id="0"/>
    </w:p>
    <w:p w:rsidR="00537FD5" w:rsidRDefault="00537FD5">
      <w:pPr>
        <w:rPr>
          <w:rFonts w:ascii="Calibri" w:eastAsia="Calibri" w:hAnsi="Calibri" w:cs="Calibri"/>
          <w:sz w:val="24"/>
          <w:szCs w:val="24"/>
        </w:rPr>
      </w:pPr>
      <w:bookmarkStart w:id="1" w:name="_dux54graw7pq" w:colFirst="0" w:colLast="0"/>
      <w:bookmarkStart w:id="2" w:name="_6ih5f7wm6dax" w:colFirst="0" w:colLast="0"/>
      <w:bookmarkStart w:id="3" w:name="_7ena4w3yht0j" w:colFirst="0" w:colLast="0"/>
      <w:bookmarkEnd w:id="1"/>
      <w:bookmarkEnd w:id="2"/>
      <w:bookmarkEnd w:id="3"/>
    </w:p>
    <w:p w:rsidR="00537FD5" w:rsidRDefault="00537FD5">
      <w:pPr>
        <w:pBdr>
          <w:top w:val="nil"/>
          <w:left w:val="nil"/>
          <w:bottom w:val="nil"/>
          <w:right w:val="nil"/>
          <w:between w:val="nil"/>
        </w:pBdr>
        <w:spacing w:after="280"/>
        <w:jc w:val="center"/>
        <w:rPr>
          <w:rFonts w:ascii="Calibri" w:eastAsia="Calibri" w:hAnsi="Calibri" w:cs="Calibri"/>
          <w:b/>
          <w:sz w:val="28"/>
          <w:szCs w:val="28"/>
        </w:rPr>
      </w:pPr>
      <w:bookmarkStart w:id="4" w:name="_lz1h5qku000e" w:colFirst="0" w:colLast="0"/>
      <w:bookmarkEnd w:id="4"/>
    </w:p>
    <w:p w:rsidR="00537FD5" w:rsidRDefault="00537FD5">
      <w:pPr>
        <w:pBdr>
          <w:top w:val="nil"/>
          <w:left w:val="nil"/>
          <w:bottom w:val="nil"/>
          <w:right w:val="nil"/>
          <w:between w:val="nil"/>
        </w:pBdr>
        <w:spacing w:after="280"/>
        <w:jc w:val="center"/>
        <w:rPr>
          <w:rFonts w:ascii="Calibri" w:eastAsia="Calibri" w:hAnsi="Calibri" w:cs="Calibri"/>
          <w:b/>
          <w:sz w:val="28"/>
          <w:szCs w:val="28"/>
        </w:rPr>
      </w:pPr>
      <w:bookmarkStart w:id="5" w:name="_frhgg8klmgib" w:colFirst="0" w:colLast="0"/>
      <w:bookmarkEnd w:id="5"/>
    </w:p>
    <w:p w:rsidR="00537FD5" w:rsidRDefault="00537FD5">
      <w:pPr>
        <w:pBdr>
          <w:top w:val="nil"/>
          <w:left w:val="nil"/>
          <w:bottom w:val="nil"/>
          <w:right w:val="nil"/>
          <w:between w:val="nil"/>
        </w:pBdr>
        <w:spacing w:after="280"/>
        <w:jc w:val="center"/>
        <w:rPr>
          <w:rFonts w:ascii="Calibri" w:eastAsia="Calibri" w:hAnsi="Calibri" w:cs="Calibri"/>
          <w:b/>
          <w:sz w:val="28"/>
          <w:szCs w:val="28"/>
        </w:rPr>
      </w:pPr>
      <w:bookmarkStart w:id="6" w:name="_lugm3rk3c91r" w:colFirst="0" w:colLast="0"/>
      <w:bookmarkEnd w:id="6"/>
    </w:p>
    <w:p w:rsidR="00537FD5" w:rsidRDefault="00537FD5">
      <w:pPr>
        <w:pBdr>
          <w:top w:val="nil"/>
          <w:left w:val="nil"/>
          <w:bottom w:val="nil"/>
          <w:right w:val="nil"/>
          <w:between w:val="nil"/>
        </w:pBdr>
        <w:spacing w:after="280"/>
        <w:jc w:val="center"/>
        <w:rPr>
          <w:rFonts w:ascii="Calibri" w:eastAsia="Calibri" w:hAnsi="Calibri" w:cs="Calibri"/>
          <w:b/>
          <w:sz w:val="28"/>
          <w:szCs w:val="28"/>
        </w:rPr>
      </w:pPr>
      <w:bookmarkStart w:id="7" w:name="_k3w2r7s2gwh6" w:colFirst="0" w:colLast="0"/>
      <w:bookmarkEnd w:id="7"/>
    </w:p>
    <w:p w:rsidR="00537FD5" w:rsidRDefault="00537FD5">
      <w:pPr>
        <w:pBdr>
          <w:top w:val="nil"/>
          <w:left w:val="nil"/>
          <w:bottom w:val="nil"/>
          <w:right w:val="nil"/>
          <w:between w:val="nil"/>
        </w:pBdr>
        <w:spacing w:after="280"/>
        <w:rPr>
          <w:rFonts w:ascii="Calibri" w:eastAsia="Calibri" w:hAnsi="Calibri" w:cs="Calibri"/>
          <w:b/>
          <w:sz w:val="28"/>
          <w:szCs w:val="28"/>
        </w:rPr>
      </w:pPr>
      <w:bookmarkStart w:id="8" w:name="_nm8nvup3t64j" w:colFirst="0" w:colLast="0"/>
      <w:bookmarkEnd w:id="8"/>
    </w:p>
    <w:p w:rsidR="00F32146" w:rsidRDefault="00F32146" w:rsidP="00F32146">
      <w:pPr>
        <w:tabs>
          <w:tab w:val="left" w:pos="2127"/>
        </w:tabs>
        <w:spacing w:line="360" w:lineRule="auto"/>
        <w:jc w:val="center"/>
        <w:rPr>
          <w:b/>
          <w:bCs/>
          <w:sz w:val="24"/>
          <w:szCs w:val="28"/>
        </w:rPr>
      </w:pPr>
      <w:bookmarkStart w:id="9" w:name="_2cnojo5tmkc3" w:colFirst="0" w:colLast="0"/>
      <w:bookmarkEnd w:id="9"/>
      <w:r w:rsidRPr="004D63C7">
        <w:rPr>
          <w:b/>
          <w:bCs/>
          <w:sz w:val="24"/>
          <w:szCs w:val="28"/>
        </w:rPr>
        <w:t>Treatment Patterns and Risk of Switch to Mania in Bipolar Depressive Patients Treated with Antidepressants: A real world study using the OHDSI Network</w:t>
      </w:r>
    </w:p>
    <w:p w:rsidR="00752CC4" w:rsidRPr="004D63C7" w:rsidRDefault="00752CC4" w:rsidP="00F32146">
      <w:pPr>
        <w:tabs>
          <w:tab w:val="left" w:pos="2127"/>
        </w:tabs>
        <w:spacing w:line="360" w:lineRule="auto"/>
        <w:jc w:val="center"/>
        <w:rPr>
          <w:b/>
          <w:bCs/>
          <w:sz w:val="24"/>
          <w:szCs w:val="28"/>
        </w:rPr>
      </w:pPr>
    </w:p>
    <w:p w:rsidR="00F32146" w:rsidRDefault="00F32146" w:rsidP="00F32146">
      <w:pPr>
        <w:spacing w:line="360" w:lineRule="auto"/>
        <w:jc w:val="center"/>
        <w:rPr>
          <w:b/>
          <w:bCs/>
          <w:sz w:val="24"/>
          <w:szCs w:val="28"/>
          <w:vertAlign w:val="superscript"/>
        </w:rPr>
      </w:pPr>
      <w:r w:rsidRPr="004D63C7">
        <w:rPr>
          <w:b/>
          <w:bCs/>
          <w:sz w:val="24"/>
          <w:szCs w:val="28"/>
        </w:rPr>
        <w:t>L. Feng</w:t>
      </w:r>
      <w:r w:rsidRPr="004D63C7">
        <w:rPr>
          <w:b/>
          <w:bCs/>
          <w:sz w:val="24"/>
          <w:szCs w:val="28"/>
          <w:vertAlign w:val="superscript"/>
        </w:rPr>
        <w:t>1,2*</w:t>
      </w:r>
      <w:r w:rsidRPr="004D63C7">
        <w:rPr>
          <w:b/>
          <w:bCs/>
          <w:sz w:val="24"/>
          <w:szCs w:val="28"/>
        </w:rPr>
        <w:t>, W.W. Wang</w:t>
      </w:r>
      <w:r w:rsidRPr="004D63C7">
        <w:rPr>
          <w:b/>
          <w:bCs/>
          <w:sz w:val="24"/>
          <w:szCs w:val="28"/>
          <w:vertAlign w:val="superscript"/>
        </w:rPr>
        <w:t>1,2*</w:t>
      </w:r>
      <w:r w:rsidRPr="004D63C7">
        <w:rPr>
          <w:b/>
          <w:bCs/>
          <w:sz w:val="24"/>
          <w:szCs w:val="28"/>
        </w:rPr>
        <w:t>, X.L. Wang</w:t>
      </w:r>
      <w:r w:rsidRPr="004D63C7">
        <w:rPr>
          <w:b/>
          <w:bCs/>
          <w:sz w:val="24"/>
          <w:szCs w:val="28"/>
          <w:vertAlign w:val="superscript"/>
        </w:rPr>
        <w:t>3,4</w:t>
      </w:r>
      <w:r w:rsidRPr="004D63C7">
        <w:rPr>
          <w:b/>
          <w:bCs/>
          <w:sz w:val="24"/>
          <w:szCs w:val="28"/>
        </w:rPr>
        <w:t>, X.W. Zhang</w:t>
      </w:r>
      <w:r w:rsidRPr="004D63C7">
        <w:rPr>
          <w:b/>
          <w:bCs/>
          <w:sz w:val="24"/>
          <w:szCs w:val="28"/>
          <w:vertAlign w:val="superscript"/>
        </w:rPr>
        <w:t>5</w:t>
      </w:r>
      <w:r w:rsidRPr="004D63C7">
        <w:rPr>
          <w:b/>
          <w:bCs/>
          <w:sz w:val="24"/>
          <w:szCs w:val="28"/>
        </w:rPr>
        <w:t>, P.P. Miao</w:t>
      </w:r>
      <w:r w:rsidRPr="004D63C7">
        <w:rPr>
          <w:b/>
          <w:bCs/>
          <w:sz w:val="24"/>
          <w:szCs w:val="28"/>
          <w:vertAlign w:val="superscript"/>
        </w:rPr>
        <w:t>5</w:t>
      </w:r>
      <w:r w:rsidRPr="004D63C7">
        <w:rPr>
          <w:b/>
          <w:bCs/>
          <w:sz w:val="24"/>
          <w:szCs w:val="28"/>
        </w:rPr>
        <w:t>, Y.J. Feng</w:t>
      </w:r>
      <w:r w:rsidRPr="004D63C7">
        <w:rPr>
          <w:b/>
          <w:bCs/>
          <w:sz w:val="24"/>
          <w:szCs w:val="28"/>
          <w:vertAlign w:val="superscript"/>
        </w:rPr>
        <w:t>3,4</w:t>
      </w:r>
      <w:r w:rsidRPr="004D63C7">
        <w:rPr>
          <w:b/>
          <w:bCs/>
          <w:sz w:val="24"/>
          <w:szCs w:val="28"/>
        </w:rPr>
        <w:t>, M.V. Zandt</w:t>
      </w:r>
      <w:r w:rsidRPr="004D63C7">
        <w:rPr>
          <w:b/>
          <w:bCs/>
          <w:sz w:val="24"/>
          <w:szCs w:val="28"/>
          <w:vertAlign w:val="superscript"/>
        </w:rPr>
        <w:t>3,4</w:t>
      </w:r>
      <w:r w:rsidRPr="004D63C7">
        <w:rPr>
          <w:b/>
          <w:bCs/>
          <w:sz w:val="24"/>
          <w:szCs w:val="28"/>
        </w:rPr>
        <w:t>, S. Seager</w:t>
      </w:r>
      <w:r w:rsidRPr="004D63C7">
        <w:rPr>
          <w:b/>
          <w:bCs/>
          <w:sz w:val="24"/>
          <w:szCs w:val="28"/>
          <w:vertAlign w:val="superscript"/>
        </w:rPr>
        <w:t>3,4</w:t>
      </w:r>
      <w:r w:rsidRPr="004D63C7">
        <w:rPr>
          <w:b/>
          <w:bCs/>
          <w:sz w:val="24"/>
          <w:szCs w:val="28"/>
        </w:rPr>
        <w:t>, K. Kostka</w:t>
      </w:r>
      <w:r w:rsidRPr="004D63C7">
        <w:rPr>
          <w:b/>
          <w:bCs/>
          <w:sz w:val="24"/>
          <w:szCs w:val="28"/>
          <w:vertAlign w:val="superscript"/>
        </w:rPr>
        <w:t>3,4</w:t>
      </w:r>
      <w:r w:rsidRPr="004D63C7">
        <w:rPr>
          <w:b/>
          <w:bCs/>
          <w:sz w:val="24"/>
          <w:szCs w:val="28"/>
        </w:rPr>
        <w:t>, C. Reich</w:t>
      </w:r>
      <w:r w:rsidRPr="004D63C7">
        <w:rPr>
          <w:b/>
          <w:bCs/>
          <w:sz w:val="24"/>
          <w:szCs w:val="28"/>
          <w:vertAlign w:val="superscript"/>
        </w:rPr>
        <w:t>3,4</w:t>
      </w:r>
      <w:r w:rsidRPr="004D63C7">
        <w:rPr>
          <w:b/>
          <w:bCs/>
          <w:sz w:val="24"/>
          <w:szCs w:val="28"/>
        </w:rPr>
        <w:t>, G. Wang</w:t>
      </w:r>
      <w:r w:rsidRPr="004D63C7">
        <w:rPr>
          <w:b/>
          <w:bCs/>
          <w:sz w:val="24"/>
          <w:szCs w:val="28"/>
          <w:vertAlign w:val="superscript"/>
        </w:rPr>
        <w:t>1,2</w:t>
      </w:r>
    </w:p>
    <w:p w:rsidR="00752CC4" w:rsidRPr="004D63C7" w:rsidRDefault="00752CC4" w:rsidP="00F32146">
      <w:pPr>
        <w:spacing w:line="360" w:lineRule="auto"/>
        <w:jc w:val="center"/>
        <w:rPr>
          <w:b/>
          <w:bCs/>
          <w:sz w:val="24"/>
          <w:szCs w:val="28"/>
        </w:rPr>
      </w:pPr>
    </w:p>
    <w:p w:rsidR="00F32146" w:rsidRPr="004D63C7" w:rsidRDefault="00F32146" w:rsidP="00F32146">
      <w:pPr>
        <w:spacing w:line="360" w:lineRule="auto"/>
        <w:rPr>
          <w:sz w:val="24"/>
          <w:szCs w:val="28"/>
        </w:rPr>
      </w:pPr>
      <w:r w:rsidRPr="004D63C7">
        <w:rPr>
          <w:b/>
          <w:bCs/>
          <w:sz w:val="24"/>
          <w:szCs w:val="28"/>
          <w:vertAlign w:val="superscript"/>
        </w:rPr>
        <w:t>1</w:t>
      </w:r>
      <w:r w:rsidRPr="004D63C7">
        <w:rPr>
          <w:b/>
          <w:bCs/>
          <w:sz w:val="24"/>
          <w:szCs w:val="28"/>
        </w:rPr>
        <w:t xml:space="preserve"> </w:t>
      </w:r>
      <w:r w:rsidRPr="004D63C7">
        <w:rPr>
          <w:sz w:val="24"/>
          <w:szCs w:val="28"/>
        </w:rPr>
        <w:t>National Clinical Research Center for Mental Disorders &amp; Beijing Key Laboratory of Mental Disorders, Beijing Anding Hospital, Capital Medical University, Beijing, China</w:t>
      </w:r>
    </w:p>
    <w:p w:rsidR="00F32146" w:rsidRPr="004D63C7" w:rsidRDefault="00F32146" w:rsidP="00F32146">
      <w:pPr>
        <w:spacing w:line="360" w:lineRule="auto"/>
        <w:rPr>
          <w:b/>
          <w:bCs/>
          <w:sz w:val="24"/>
          <w:szCs w:val="28"/>
        </w:rPr>
      </w:pPr>
      <w:r w:rsidRPr="004D63C7">
        <w:rPr>
          <w:b/>
          <w:bCs/>
          <w:sz w:val="24"/>
          <w:szCs w:val="28"/>
          <w:vertAlign w:val="superscript"/>
        </w:rPr>
        <w:t xml:space="preserve">2 </w:t>
      </w:r>
      <w:r w:rsidRPr="004D63C7">
        <w:rPr>
          <w:sz w:val="24"/>
          <w:szCs w:val="28"/>
        </w:rPr>
        <w:t xml:space="preserve">Advanced Innovation Center for Human Brain Protection, Capital Medical University, </w:t>
      </w:r>
      <w:proofErr w:type="gramStart"/>
      <w:r w:rsidRPr="004D63C7">
        <w:rPr>
          <w:sz w:val="24"/>
          <w:szCs w:val="28"/>
        </w:rPr>
        <w:t>Beijing</w:t>
      </w:r>
      <w:proofErr w:type="gramEnd"/>
      <w:r w:rsidRPr="004D63C7">
        <w:rPr>
          <w:sz w:val="24"/>
          <w:szCs w:val="28"/>
        </w:rPr>
        <w:t>, China</w:t>
      </w:r>
    </w:p>
    <w:p w:rsidR="00F32146" w:rsidRPr="004D63C7" w:rsidRDefault="00F32146" w:rsidP="00F32146">
      <w:pPr>
        <w:spacing w:line="360" w:lineRule="auto"/>
        <w:rPr>
          <w:sz w:val="24"/>
          <w:szCs w:val="28"/>
        </w:rPr>
      </w:pPr>
      <w:r w:rsidRPr="004D63C7">
        <w:rPr>
          <w:b/>
          <w:bCs/>
          <w:sz w:val="24"/>
          <w:szCs w:val="28"/>
          <w:vertAlign w:val="superscript"/>
        </w:rPr>
        <w:t xml:space="preserve">3 </w:t>
      </w:r>
      <w:r w:rsidRPr="004D63C7">
        <w:rPr>
          <w:sz w:val="24"/>
          <w:szCs w:val="28"/>
        </w:rPr>
        <w:t>Real World Solutions, IQVIA, Durham, North Carolina, USA</w:t>
      </w:r>
    </w:p>
    <w:p w:rsidR="00F32146" w:rsidRPr="004D63C7" w:rsidRDefault="00F32146" w:rsidP="00F32146">
      <w:pPr>
        <w:spacing w:line="360" w:lineRule="auto"/>
        <w:rPr>
          <w:sz w:val="24"/>
          <w:szCs w:val="28"/>
        </w:rPr>
      </w:pPr>
      <w:r w:rsidRPr="004D63C7">
        <w:rPr>
          <w:b/>
          <w:bCs/>
          <w:sz w:val="24"/>
          <w:szCs w:val="28"/>
          <w:vertAlign w:val="superscript"/>
        </w:rPr>
        <w:t>4</w:t>
      </w:r>
      <w:r w:rsidRPr="004D63C7">
        <w:rPr>
          <w:sz w:val="24"/>
          <w:szCs w:val="28"/>
          <w:vertAlign w:val="superscript"/>
        </w:rPr>
        <w:t xml:space="preserve"> </w:t>
      </w:r>
      <w:r w:rsidRPr="004D63C7">
        <w:rPr>
          <w:sz w:val="24"/>
          <w:szCs w:val="28"/>
        </w:rPr>
        <w:t xml:space="preserve">Observational Health Data Sciences and Informatics, New York, New York, USA </w:t>
      </w:r>
    </w:p>
    <w:p w:rsidR="00F32146" w:rsidRPr="004D63C7" w:rsidRDefault="00F32146" w:rsidP="00F32146">
      <w:pPr>
        <w:spacing w:line="360" w:lineRule="auto"/>
        <w:rPr>
          <w:sz w:val="24"/>
          <w:szCs w:val="28"/>
        </w:rPr>
      </w:pPr>
      <w:r w:rsidRPr="004D63C7">
        <w:rPr>
          <w:b/>
          <w:bCs/>
          <w:sz w:val="24"/>
          <w:szCs w:val="28"/>
          <w:vertAlign w:val="superscript"/>
        </w:rPr>
        <w:t>5</w:t>
      </w:r>
      <w:r w:rsidRPr="004D63C7">
        <w:rPr>
          <w:sz w:val="24"/>
          <w:szCs w:val="28"/>
          <w:vertAlign w:val="superscript"/>
        </w:rPr>
        <w:t xml:space="preserve"> </w:t>
      </w:r>
      <w:proofErr w:type="spellStart"/>
      <w:r w:rsidRPr="004D63C7">
        <w:rPr>
          <w:sz w:val="24"/>
          <w:szCs w:val="28"/>
        </w:rPr>
        <w:t>SmindU</w:t>
      </w:r>
      <w:proofErr w:type="spellEnd"/>
      <w:r w:rsidRPr="004D63C7">
        <w:rPr>
          <w:sz w:val="24"/>
          <w:szCs w:val="28"/>
        </w:rPr>
        <w:t xml:space="preserve"> Medical Science &amp; Technology Co., Ltd., Beijing, China </w:t>
      </w:r>
    </w:p>
    <w:p w:rsidR="00F32146" w:rsidRDefault="00F32146" w:rsidP="00F32146">
      <w:pPr>
        <w:spacing w:line="360" w:lineRule="auto"/>
        <w:rPr>
          <w:sz w:val="24"/>
          <w:szCs w:val="28"/>
        </w:rPr>
      </w:pPr>
      <w:r w:rsidRPr="004D63C7">
        <w:rPr>
          <w:sz w:val="24"/>
          <w:szCs w:val="28"/>
        </w:rPr>
        <w:t xml:space="preserve">*L. Feng and W.W. Wang contributed equally to the </w:t>
      </w:r>
      <w:r>
        <w:rPr>
          <w:sz w:val="24"/>
          <w:szCs w:val="28"/>
        </w:rPr>
        <w:t>work</w:t>
      </w:r>
    </w:p>
    <w:p w:rsidR="00F32146" w:rsidRDefault="00F32146" w:rsidP="00F32146">
      <w:pPr>
        <w:spacing w:line="360" w:lineRule="auto"/>
        <w:rPr>
          <w:sz w:val="24"/>
          <w:szCs w:val="28"/>
        </w:rPr>
      </w:pPr>
    </w:p>
    <w:p w:rsidR="00F32146" w:rsidRDefault="00F32146" w:rsidP="00F32146">
      <w:pPr>
        <w:spacing w:line="360" w:lineRule="auto"/>
        <w:rPr>
          <w:sz w:val="24"/>
          <w:szCs w:val="28"/>
        </w:rPr>
      </w:pPr>
    </w:p>
    <w:p w:rsidR="00F32146" w:rsidRDefault="00F32146" w:rsidP="00F32146">
      <w:pPr>
        <w:spacing w:line="360" w:lineRule="auto"/>
        <w:rPr>
          <w:sz w:val="24"/>
          <w:szCs w:val="28"/>
        </w:rPr>
      </w:pPr>
    </w:p>
    <w:p w:rsidR="00F32146" w:rsidRDefault="00F32146" w:rsidP="00F32146">
      <w:pPr>
        <w:spacing w:line="360" w:lineRule="auto"/>
        <w:rPr>
          <w:rFonts w:hint="eastAsia"/>
          <w:sz w:val="24"/>
          <w:szCs w:val="28"/>
        </w:rPr>
      </w:pPr>
    </w:p>
    <w:p w:rsidR="00F32146" w:rsidRDefault="00F32146" w:rsidP="00F32146">
      <w:pPr>
        <w:spacing w:line="360" w:lineRule="auto"/>
        <w:rPr>
          <w:sz w:val="24"/>
          <w:szCs w:val="28"/>
        </w:rPr>
      </w:pPr>
    </w:p>
    <w:p w:rsidR="00752CC4" w:rsidRDefault="00752CC4" w:rsidP="00F32146">
      <w:pPr>
        <w:spacing w:line="360" w:lineRule="auto"/>
        <w:rPr>
          <w:sz w:val="24"/>
          <w:szCs w:val="28"/>
        </w:rPr>
      </w:pPr>
    </w:p>
    <w:p w:rsidR="00752CC4" w:rsidRDefault="00752CC4" w:rsidP="00F32146">
      <w:pPr>
        <w:spacing w:line="360" w:lineRule="auto"/>
        <w:rPr>
          <w:sz w:val="24"/>
          <w:szCs w:val="28"/>
        </w:rPr>
      </w:pPr>
    </w:p>
    <w:p w:rsidR="000F6E69" w:rsidRPr="00F32146" w:rsidRDefault="000F6E69" w:rsidP="00F32146">
      <w:pPr>
        <w:spacing w:line="360" w:lineRule="auto"/>
        <w:rPr>
          <w:rFonts w:hint="eastAsia"/>
          <w:sz w:val="24"/>
          <w:szCs w:val="28"/>
        </w:rPr>
        <w:sectPr w:rsidR="000F6E69" w:rsidRPr="00F32146">
          <w:footerReference w:type="default" r:id="rId7"/>
          <w:pgSz w:w="12240" w:h="15840"/>
          <w:pgMar w:top="1440" w:right="1440" w:bottom="1440" w:left="1440" w:header="0" w:footer="720" w:gutter="0"/>
          <w:pgNumType w:start="1"/>
          <w:cols w:space="720"/>
        </w:sectPr>
      </w:pPr>
    </w:p>
    <w:p w:rsidR="000F6E69" w:rsidRDefault="00D251DA" w:rsidP="00F669C3">
      <w:pPr>
        <w:keepNext/>
        <w:pBdr>
          <w:top w:val="nil"/>
          <w:left w:val="nil"/>
          <w:bottom w:val="nil"/>
          <w:right w:val="nil"/>
          <w:between w:val="nil"/>
        </w:pBdr>
        <w:spacing w:after="120" w:line="360" w:lineRule="auto"/>
        <w:jc w:val="both"/>
        <w:rPr>
          <w:rFonts w:ascii="Calibri" w:hAnsi="Calibri" w:cs="Calibri"/>
          <w:b/>
          <w:color w:val="000000"/>
          <w:sz w:val="22"/>
          <w:szCs w:val="22"/>
        </w:rPr>
      </w:pPr>
      <w:r>
        <w:rPr>
          <w:rFonts w:ascii="Calibri" w:eastAsia="Calibri" w:hAnsi="Calibri" w:cs="Calibri"/>
          <w:b/>
          <w:color w:val="000000"/>
          <w:sz w:val="22"/>
          <w:szCs w:val="22"/>
        </w:rPr>
        <w:lastRenderedPageBreak/>
        <w:t>Abstract</w:t>
      </w:r>
      <w:r w:rsidR="000F6E69">
        <w:rPr>
          <w:rFonts w:ascii="Calibri" w:hAnsi="Calibri" w:cs="Calibri" w:hint="eastAsia"/>
          <w:b/>
          <w:color w:val="000000"/>
          <w:sz w:val="22"/>
          <w:szCs w:val="22"/>
        </w:rPr>
        <w:t>:</w:t>
      </w:r>
      <w:r w:rsidR="000F6E69">
        <w:rPr>
          <w:rFonts w:ascii="Calibri" w:hAnsi="Calibri" w:cs="Calibri"/>
          <w:b/>
          <w:color w:val="000000"/>
          <w:sz w:val="22"/>
          <w:szCs w:val="22"/>
        </w:rPr>
        <w:t xml:space="preserve"> </w:t>
      </w:r>
    </w:p>
    <w:p w:rsidR="000F6E69" w:rsidRPr="000F6E69" w:rsidRDefault="000F6E69" w:rsidP="00F669C3">
      <w:pPr>
        <w:keepNext/>
        <w:pBdr>
          <w:top w:val="nil"/>
          <w:left w:val="nil"/>
          <w:bottom w:val="nil"/>
          <w:right w:val="nil"/>
          <w:between w:val="nil"/>
        </w:pBdr>
        <w:spacing w:after="120" w:line="360" w:lineRule="auto"/>
        <w:jc w:val="both"/>
        <w:rPr>
          <w:rFonts w:ascii="Calibri" w:hAnsi="Calibri" w:cs="Calibri" w:hint="eastAsia"/>
          <w:color w:val="000000"/>
          <w:sz w:val="22"/>
          <w:szCs w:val="22"/>
        </w:rPr>
      </w:pPr>
      <w:r w:rsidRPr="000F6E69">
        <w:rPr>
          <w:rFonts w:ascii="Calibri" w:hAnsi="Calibri" w:cs="Calibri"/>
          <w:color w:val="000000"/>
          <w:sz w:val="22"/>
          <w:szCs w:val="22"/>
        </w:rPr>
        <w:t>The use of antidepressants (AD) for treating bipolar depression remains controversial due to the potential risk of inducing switch to mania. This multinational, large-scale, observational study is to describe the use of AD among bipolar depressive patients, and the potential risk of manic switch associated with the use of AD alone or in combination with antipsych</w:t>
      </w:r>
      <w:r>
        <w:rPr>
          <w:rFonts w:ascii="Calibri" w:hAnsi="Calibri" w:cs="Calibri"/>
          <w:color w:val="000000"/>
          <w:sz w:val="22"/>
          <w:szCs w:val="22"/>
        </w:rPr>
        <w:t>otic or mood stabilizer. In the study, f</w:t>
      </w:r>
      <w:r w:rsidRPr="000F6E69">
        <w:rPr>
          <w:rFonts w:ascii="Calibri" w:hAnsi="Calibri" w:cs="Calibri"/>
          <w:color w:val="000000"/>
          <w:sz w:val="22"/>
          <w:szCs w:val="22"/>
        </w:rPr>
        <w:t xml:space="preserve">our electronic health record databases and one administrative claims database from four countries were used in this retrospective, observational study. Demographic characteristics of the bipolar depressive patients and their treatment pathways were described. Incidence rate ratio (RR) of manic switch was calculated by comparing the patients treated with AD group with those who were not AD group in acute phase and in maintenance phase after the treatment. Rate ratios comparison were used to evaluate the protective effects of concurrent treatments on manic switch. A total of 2.8 million patients from the five databases were included for the analysis, 70% of whom received AD as initial treatment for bipolar depression. Proportion of AD </w:t>
      </w:r>
      <w:proofErr w:type="spellStart"/>
      <w:r w:rsidRPr="000F6E69">
        <w:rPr>
          <w:rFonts w:ascii="Calibri" w:hAnsi="Calibri" w:cs="Calibri"/>
          <w:color w:val="000000"/>
          <w:sz w:val="22"/>
          <w:szCs w:val="22"/>
        </w:rPr>
        <w:t>monotherapy</w:t>
      </w:r>
      <w:proofErr w:type="spellEnd"/>
      <w:r w:rsidRPr="000F6E69">
        <w:rPr>
          <w:rFonts w:ascii="Calibri" w:hAnsi="Calibri" w:cs="Calibri"/>
          <w:color w:val="000000"/>
          <w:sz w:val="22"/>
          <w:szCs w:val="22"/>
        </w:rPr>
        <w:t xml:space="preserve"> ranged from 19.6% to 46.9% across the databases. AD group had lower incidence rates of manic switch than Non-AD group in both acute and maintenance phase. It indicated that AD had been widely used in clinical practice to treat bipolar depression. The use of AD did not increase the risk of manic switch when compared to non-AD treatment.</w:t>
      </w:r>
    </w:p>
    <w:p w:rsidR="00537FD5" w:rsidRDefault="00D251DA" w:rsidP="00F669C3">
      <w:pPr>
        <w:pBdr>
          <w:top w:val="nil"/>
          <w:left w:val="nil"/>
          <w:bottom w:val="nil"/>
          <w:right w:val="nil"/>
          <w:between w:val="nil"/>
        </w:pBdr>
        <w:spacing w:after="120" w:line="360" w:lineRule="auto"/>
        <w:jc w:val="both"/>
        <w:rPr>
          <w:rFonts w:ascii="Calibri" w:eastAsia="Calibri" w:hAnsi="Calibri" w:cs="Calibri"/>
          <w:b/>
          <w:sz w:val="22"/>
          <w:szCs w:val="22"/>
        </w:rPr>
      </w:pPr>
      <w:r>
        <w:rPr>
          <w:rFonts w:ascii="Calibri" w:eastAsia="Calibri" w:hAnsi="Calibri" w:cs="Calibri"/>
          <w:b/>
          <w:sz w:val="22"/>
          <w:szCs w:val="22"/>
        </w:rPr>
        <w:t xml:space="preserve">Research Category </w:t>
      </w:r>
    </w:p>
    <w:p w:rsidR="00A67FD6" w:rsidRDefault="00D4707E" w:rsidP="00F669C3">
      <w:pPr>
        <w:pBdr>
          <w:top w:val="nil"/>
          <w:left w:val="nil"/>
          <w:bottom w:val="nil"/>
          <w:right w:val="nil"/>
          <w:between w:val="nil"/>
        </w:pBdr>
        <w:spacing w:after="120" w:line="360" w:lineRule="auto"/>
        <w:jc w:val="both"/>
        <w:rPr>
          <w:rFonts w:ascii="Calibri" w:hAnsi="Calibri" w:cs="Calibri"/>
          <w:b/>
          <w:sz w:val="22"/>
          <w:szCs w:val="22"/>
        </w:rPr>
      </w:pPr>
      <w:r>
        <w:rPr>
          <w:rFonts w:ascii="Calibri" w:eastAsia="Calibri" w:hAnsi="Calibri" w:cs="Calibri"/>
          <w:sz w:val="22"/>
          <w:szCs w:val="22"/>
        </w:rPr>
        <w:t>Clinical characterization</w:t>
      </w:r>
      <w:r>
        <w:rPr>
          <w:rFonts w:ascii="Calibri" w:eastAsia="Calibri" w:hAnsi="Calibri" w:cs="Calibri"/>
          <w:b/>
          <w:sz w:val="22"/>
          <w:szCs w:val="22"/>
        </w:rPr>
        <w:t xml:space="preserve"> </w:t>
      </w:r>
    </w:p>
    <w:p w:rsidR="000F6E69" w:rsidRPr="000F6E69" w:rsidRDefault="00D251DA" w:rsidP="00F669C3">
      <w:pPr>
        <w:pBdr>
          <w:top w:val="nil"/>
          <w:left w:val="nil"/>
          <w:bottom w:val="nil"/>
          <w:right w:val="nil"/>
          <w:between w:val="nil"/>
        </w:pBdr>
        <w:spacing w:after="120" w:line="360" w:lineRule="auto"/>
        <w:jc w:val="both"/>
        <w:rPr>
          <w:rFonts w:ascii="Calibri" w:hAnsi="Calibri" w:cs="Calibri" w:hint="eastAsia"/>
          <w:b/>
          <w:color w:val="000000"/>
          <w:sz w:val="22"/>
          <w:szCs w:val="22"/>
        </w:rPr>
      </w:pPr>
      <w:r>
        <w:rPr>
          <w:rFonts w:ascii="Calibri" w:eastAsia="Calibri" w:hAnsi="Calibri" w:cs="Calibri"/>
          <w:b/>
          <w:color w:val="000000"/>
          <w:sz w:val="22"/>
          <w:szCs w:val="22"/>
        </w:rPr>
        <w:t>Introduction</w:t>
      </w:r>
    </w:p>
    <w:p w:rsidR="000F6E69" w:rsidRPr="000F6E69" w:rsidRDefault="000F6E69" w:rsidP="00F669C3">
      <w:pPr>
        <w:pBdr>
          <w:top w:val="nil"/>
          <w:left w:val="nil"/>
          <w:bottom w:val="nil"/>
          <w:right w:val="nil"/>
          <w:between w:val="nil"/>
        </w:pBdr>
        <w:spacing w:after="120" w:line="360" w:lineRule="auto"/>
        <w:jc w:val="both"/>
        <w:rPr>
          <w:rFonts w:ascii="Calibri" w:eastAsia="Calibri" w:hAnsi="Calibri" w:cs="Calibri"/>
          <w:sz w:val="22"/>
          <w:szCs w:val="22"/>
        </w:rPr>
      </w:pPr>
      <w:r w:rsidRPr="000F6E69">
        <w:rPr>
          <w:rFonts w:ascii="Calibri" w:eastAsia="Calibri" w:hAnsi="Calibri" w:cs="Calibri"/>
          <w:sz w:val="22"/>
          <w:szCs w:val="22"/>
        </w:rPr>
        <w:t xml:space="preserve">Bipolar disorder is a recurrent and chronic affective disorder, throughout the course of the disease, depression episodes accounted for 72% of the duration of the illness, and it also takes a longer time to remission. However, the use of AD in bipolar depressive episodes treatment remains controversial due to the potential risk of inducing a switch from depression to hypomania or mania </w:t>
      </w:r>
      <w:r w:rsidRPr="000F6E69">
        <w:rPr>
          <w:rFonts w:asciiTheme="majorHAnsi" w:hAnsiTheme="majorHAnsi" w:cstheme="majorHAnsi"/>
          <w:sz w:val="22"/>
        </w:rPr>
        <w:t>(</w:t>
      </w:r>
      <w:proofErr w:type="spellStart"/>
      <w:r w:rsidRPr="000F6E69">
        <w:rPr>
          <w:rFonts w:asciiTheme="majorHAnsi" w:hAnsiTheme="majorHAnsi" w:cstheme="majorHAnsi"/>
          <w:sz w:val="22"/>
        </w:rPr>
        <w:t>McGirr</w:t>
      </w:r>
      <w:proofErr w:type="spellEnd"/>
      <w:r w:rsidRPr="000F6E69">
        <w:rPr>
          <w:rFonts w:asciiTheme="majorHAnsi" w:hAnsiTheme="majorHAnsi" w:cstheme="majorHAnsi"/>
          <w:sz w:val="22"/>
        </w:rPr>
        <w:t xml:space="preserve"> et al., 2016; Truman et al., 2007; </w:t>
      </w:r>
      <w:proofErr w:type="spellStart"/>
      <w:r w:rsidRPr="000F6E69">
        <w:rPr>
          <w:rFonts w:asciiTheme="majorHAnsi" w:hAnsiTheme="majorHAnsi" w:cstheme="majorHAnsi"/>
          <w:sz w:val="22"/>
        </w:rPr>
        <w:t>Valentí</w:t>
      </w:r>
      <w:proofErr w:type="spellEnd"/>
      <w:r w:rsidRPr="000F6E69">
        <w:rPr>
          <w:rFonts w:asciiTheme="majorHAnsi" w:hAnsiTheme="majorHAnsi" w:cstheme="majorHAnsi"/>
          <w:sz w:val="22"/>
        </w:rPr>
        <w:t xml:space="preserve"> et al., 2012)</w:t>
      </w:r>
      <w:r w:rsidRPr="000F6E69">
        <w:rPr>
          <w:rFonts w:ascii="Calibri" w:eastAsia="Calibri" w:hAnsi="Calibri" w:cs="Calibri"/>
          <w:sz w:val="22"/>
          <w:szCs w:val="22"/>
        </w:rPr>
        <w:t>. In this study, we conducted a large-scale, retrospective, observational study across five databases   standardized to Observational Medical Outcomes Partnership Common Data Model (OMOP CDM) to investigate the treatment patterns for the bipolar depression and risk of switch to mania amongst the patients treated with AD.</w:t>
      </w:r>
    </w:p>
    <w:p w:rsidR="00A67FD6" w:rsidRPr="000F6E69" w:rsidRDefault="00D4707E" w:rsidP="00F669C3">
      <w:pPr>
        <w:spacing w:line="360" w:lineRule="auto"/>
        <w:rPr>
          <w:rFonts w:asciiTheme="majorHAnsi" w:hAnsiTheme="majorHAnsi" w:cstheme="majorHAnsi"/>
          <w:b/>
          <w:color w:val="000000"/>
          <w:sz w:val="22"/>
          <w:szCs w:val="22"/>
        </w:rPr>
      </w:pPr>
      <w:r w:rsidRPr="000F6E69">
        <w:rPr>
          <w:rFonts w:asciiTheme="majorHAnsi" w:eastAsia="Calibri" w:hAnsiTheme="majorHAnsi" w:cstheme="majorHAnsi"/>
          <w:b/>
          <w:color w:val="000000"/>
          <w:sz w:val="22"/>
          <w:szCs w:val="22"/>
        </w:rPr>
        <w:t>Methods</w:t>
      </w:r>
    </w:p>
    <w:p w:rsidR="00D4707E" w:rsidRPr="000F6E69" w:rsidRDefault="00D4707E" w:rsidP="00F669C3">
      <w:pPr>
        <w:spacing w:line="360" w:lineRule="auto"/>
        <w:jc w:val="both"/>
        <w:rPr>
          <w:rFonts w:asciiTheme="majorHAnsi" w:eastAsia="Calibri" w:hAnsiTheme="majorHAnsi" w:cstheme="majorHAnsi"/>
          <w:b/>
          <w:color w:val="000000"/>
          <w:sz w:val="22"/>
          <w:szCs w:val="22"/>
        </w:rPr>
      </w:pPr>
      <w:r w:rsidRPr="000F6E69">
        <w:rPr>
          <w:rStyle w:val="a8"/>
          <w:rFonts w:asciiTheme="majorHAnsi" w:hAnsiTheme="majorHAnsi" w:cstheme="majorHAnsi"/>
          <w:sz w:val="22"/>
          <w:szCs w:val="22"/>
        </w:rPr>
        <w:t>Four electronic health record databases and one administrative claims database</w:t>
      </w:r>
      <w:r w:rsidRPr="000F6E69">
        <w:rPr>
          <w:rFonts w:asciiTheme="majorHAnsi" w:hAnsiTheme="majorHAnsi" w:cstheme="majorHAnsi"/>
          <w:bCs/>
          <w:sz w:val="22"/>
        </w:rPr>
        <w:t xml:space="preserve"> from four countries were </w:t>
      </w:r>
      <w:r w:rsidRPr="000F6E69">
        <w:rPr>
          <w:rFonts w:asciiTheme="majorHAnsi" w:hAnsiTheme="majorHAnsi" w:cstheme="majorHAnsi"/>
          <w:bCs/>
          <w:sz w:val="22"/>
        </w:rPr>
        <w:lastRenderedPageBreak/>
        <w:t xml:space="preserve">used in this </w:t>
      </w:r>
      <w:r w:rsidRPr="000F6E69">
        <w:rPr>
          <w:rFonts w:asciiTheme="majorHAnsi" w:hAnsiTheme="majorHAnsi" w:cstheme="majorHAnsi"/>
          <w:sz w:val="22"/>
        </w:rPr>
        <w:t>retrospective, observational study.</w:t>
      </w:r>
      <w:r w:rsidR="00113DF7" w:rsidRPr="000F6E69">
        <w:rPr>
          <w:rFonts w:asciiTheme="majorHAnsi" w:hAnsiTheme="majorHAnsi" w:cstheme="majorHAnsi"/>
          <w:sz w:val="22"/>
        </w:rPr>
        <w:t xml:space="preserve"> The bipolar depression</w:t>
      </w:r>
      <w:r w:rsidRPr="000F6E69">
        <w:rPr>
          <w:rFonts w:asciiTheme="majorHAnsi" w:hAnsiTheme="majorHAnsi" w:cstheme="majorHAnsi"/>
          <w:sz w:val="22"/>
        </w:rPr>
        <w:t xml:space="preserve"> </w:t>
      </w:r>
      <w:r w:rsidR="00113DF7" w:rsidRPr="000F6E69">
        <w:rPr>
          <w:rFonts w:asciiTheme="majorHAnsi" w:hAnsiTheme="majorHAnsi" w:cstheme="majorHAnsi"/>
          <w:sz w:val="22"/>
        </w:rPr>
        <w:t xml:space="preserve">patients from the databases were included in the study cohort (Fig. 1). </w:t>
      </w:r>
      <w:r w:rsidRPr="000F6E69">
        <w:rPr>
          <w:rFonts w:asciiTheme="majorHAnsi" w:hAnsiTheme="majorHAnsi" w:cstheme="majorHAnsi"/>
          <w:sz w:val="22"/>
        </w:rPr>
        <w:t xml:space="preserve">Demographic characteristics of the bipolar depressive patients and their treatment pathways were described. Incidence rate ratio (RR) of manic switch was calculated by comparing the patients treated with </w:t>
      </w:r>
      <w:r w:rsidR="00113DF7" w:rsidRPr="000F6E69">
        <w:rPr>
          <w:rFonts w:asciiTheme="majorHAnsi" w:hAnsiTheme="majorHAnsi" w:cstheme="majorHAnsi"/>
          <w:sz w:val="22"/>
        </w:rPr>
        <w:t>AD</w:t>
      </w:r>
      <w:r w:rsidRPr="000F6E69">
        <w:rPr>
          <w:rFonts w:asciiTheme="majorHAnsi" w:hAnsiTheme="majorHAnsi" w:cstheme="majorHAnsi"/>
          <w:sz w:val="22"/>
        </w:rPr>
        <w:t xml:space="preserve">s (AD group) with those who were not (Non-AD group) in 0-3 months (acute phase) and in 3-9 months (maintenance phase) after the treatment. Patients were further categorized to </w:t>
      </w:r>
      <w:r w:rsidR="00113DF7" w:rsidRPr="000F6E69">
        <w:rPr>
          <w:rFonts w:asciiTheme="majorHAnsi" w:hAnsiTheme="majorHAnsi" w:cstheme="majorHAnsi"/>
          <w:sz w:val="22"/>
        </w:rPr>
        <w:t>AD</w:t>
      </w:r>
      <w:r w:rsidRPr="000F6E69">
        <w:rPr>
          <w:rFonts w:asciiTheme="majorHAnsi" w:hAnsiTheme="majorHAnsi" w:cstheme="majorHAnsi"/>
          <w:sz w:val="22"/>
        </w:rPr>
        <w:t xml:space="preserve"> </w:t>
      </w:r>
      <w:proofErr w:type="spellStart"/>
      <w:r w:rsidRPr="000F6E69">
        <w:rPr>
          <w:rFonts w:asciiTheme="majorHAnsi" w:hAnsiTheme="majorHAnsi" w:cstheme="majorHAnsi"/>
          <w:sz w:val="22"/>
        </w:rPr>
        <w:t>monotherapy</w:t>
      </w:r>
      <w:proofErr w:type="spellEnd"/>
      <w:r w:rsidRPr="000F6E69">
        <w:rPr>
          <w:rFonts w:asciiTheme="majorHAnsi" w:hAnsiTheme="majorHAnsi" w:cstheme="majorHAnsi"/>
          <w:sz w:val="22"/>
        </w:rPr>
        <w:t xml:space="preserve"> (AD-mono group) and </w:t>
      </w:r>
      <w:r w:rsidR="00113DF7" w:rsidRPr="000F6E69">
        <w:rPr>
          <w:rFonts w:asciiTheme="majorHAnsi" w:hAnsiTheme="majorHAnsi" w:cstheme="majorHAnsi"/>
          <w:sz w:val="22"/>
        </w:rPr>
        <w:t>AD</w:t>
      </w:r>
      <w:r w:rsidRPr="000F6E69">
        <w:rPr>
          <w:rFonts w:asciiTheme="majorHAnsi" w:hAnsiTheme="majorHAnsi" w:cstheme="majorHAnsi"/>
          <w:sz w:val="22"/>
        </w:rPr>
        <w:t xml:space="preserve"> in combination with antipsychotics or mood stabilizers (AD-con group). Rate ratios comparison were used to evaluate the protective effects of concurrent treatments on manic switch.</w:t>
      </w:r>
    </w:p>
    <w:p w:rsidR="00537FD5" w:rsidRPr="00A67FD6" w:rsidRDefault="00D4707E" w:rsidP="00F669C3">
      <w:pPr>
        <w:spacing w:line="360" w:lineRule="auto"/>
        <w:rPr>
          <w:sz w:val="22"/>
        </w:rPr>
      </w:pPr>
      <w:r>
        <w:rPr>
          <w:noProof/>
        </w:rPr>
        <w:drawing>
          <wp:inline distT="0" distB="0" distL="0" distR="0" wp14:anchorId="68DAC922" wp14:editId="2C631922">
            <wp:extent cx="4133850" cy="2392674"/>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162906" cy="2409491"/>
                    </a:xfrm>
                    <a:prstGeom prst="rect">
                      <a:avLst/>
                    </a:prstGeom>
                  </pic:spPr>
                </pic:pic>
              </a:graphicData>
            </a:graphic>
          </wp:inline>
        </w:drawing>
      </w:r>
    </w:p>
    <w:p w:rsidR="00113DF7" w:rsidRDefault="00D251DA" w:rsidP="00F669C3">
      <w:pPr>
        <w:widowControl/>
        <w:spacing w:line="360" w:lineRule="auto"/>
        <w:rPr>
          <w:sz w:val="22"/>
        </w:rPr>
      </w:pPr>
      <w:r>
        <w:rPr>
          <w:rFonts w:ascii="Calibri" w:eastAsia="Calibri" w:hAnsi="Calibri" w:cs="Calibri"/>
          <w:b/>
          <w:color w:val="000000"/>
          <w:sz w:val="18"/>
          <w:szCs w:val="18"/>
        </w:rPr>
        <w:t xml:space="preserve">Figure 1. </w:t>
      </w:r>
      <w:r w:rsidR="00A67FD6" w:rsidRPr="00983413">
        <w:rPr>
          <w:sz w:val="22"/>
        </w:rPr>
        <w:t>Flow diagram of patient selection</w:t>
      </w:r>
    </w:p>
    <w:p w:rsidR="00537FD5" w:rsidRDefault="00A67FD6" w:rsidP="00F669C3">
      <w:pPr>
        <w:widowControl/>
        <w:spacing w:line="360" w:lineRule="auto"/>
        <w:rPr>
          <w:rFonts w:ascii="Calibri" w:eastAsia="Calibri" w:hAnsi="Calibri" w:cs="Calibri"/>
          <w:b/>
          <w:color w:val="000000"/>
          <w:sz w:val="22"/>
          <w:szCs w:val="22"/>
        </w:rPr>
      </w:pPr>
      <w:r>
        <w:rPr>
          <w:rFonts w:ascii="Calibri" w:eastAsia="Calibri" w:hAnsi="Calibri" w:cs="Calibri"/>
          <w:b/>
          <w:color w:val="000000"/>
          <w:sz w:val="22"/>
          <w:szCs w:val="22"/>
        </w:rPr>
        <w:t>Results</w:t>
      </w:r>
    </w:p>
    <w:p w:rsidR="00537FD5" w:rsidRPr="00A67FD6" w:rsidRDefault="00A67FD6" w:rsidP="00F669C3">
      <w:pPr>
        <w:spacing w:line="360" w:lineRule="auto"/>
        <w:jc w:val="both"/>
        <w:rPr>
          <w:rFonts w:hint="eastAsia"/>
          <w:sz w:val="22"/>
        </w:rPr>
      </w:pPr>
      <w:r>
        <w:rPr>
          <w:bCs/>
          <w:sz w:val="22"/>
        </w:rPr>
        <w:t>A total of</w:t>
      </w:r>
      <w:r w:rsidRPr="004D63C7">
        <w:rPr>
          <w:sz w:val="22"/>
        </w:rPr>
        <w:t xml:space="preserve"> 2.8 million patients from the five databases were included for</w:t>
      </w:r>
      <w:r>
        <w:rPr>
          <w:sz w:val="22"/>
        </w:rPr>
        <w:t xml:space="preserve"> the</w:t>
      </w:r>
      <w:r w:rsidRPr="004D63C7">
        <w:rPr>
          <w:sz w:val="22"/>
        </w:rPr>
        <w:t xml:space="preserve"> analysis, 70%</w:t>
      </w:r>
      <w:r>
        <w:rPr>
          <w:sz w:val="22"/>
        </w:rPr>
        <w:t xml:space="preserve"> of whom received </w:t>
      </w:r>
      <w:r w:rsidR="00113DF7">
        <w:rPr>
          <w:sz w:val="22"/>
        </w:rPr>
        <w:t xml:space="preserve">AD </w:t>
      </w:r>
      <w:r>
        <w:rPr>
          <w:sz w:val="22"/>
        </w:rPr>
        <w:t>as</w:t>
      </w:r>
      <w:r w:rsidRPr="004D63C7">
        <w:rPr>
          <w:sz w:val="22"/>
        </w:rPr>
        <w:t xml:space="preserve"> </w:t>
      </w:r>
      <w:r>
        <w:rPr>
          <w:sz w:val="22"/>
        </w:rPr>
        <w:t>initial</w:t>
      </w:r>
      <w:r w:rsidRPr="004D63C7">
        <w:rPr>
          <w:sz w:val="22"/>
        </w:rPr>
        <w:t xml:space="preserve"> treatment for bipolar depression. Proportion</w:t>
      </w:r>
      <w:r w:rsidRPr="004D63C7" w:rsidDel="00276A0A">
        <w:rPr>
          <w:sz w:val="22"/>
        </w:rPr>
        <w:t xml:space="preserve"> </w:t>
      </w:r>
      <w:r w:rsidRPr="004D63C7">
        <w:rPr>
          <w:sz w:val="22"/>
        </w:rPr>
        <w:t>of</w:t>
      </w:r>
      <w:r w:rsidRPr="004D63C7" w:rsidDel="00276A0A">
        <w:rPr>
          <w:sz w:val="22"/>
        </w:rPr>
        <w:t xml:space="preserve"> </w:t>
      </w:r>
      <w:r w:rsidRPr="004D63C7">
        <w:rPr>
          <w:sz w:val="22"/>
        </w:rPr>
        <w:t xml:space="preserve">antidepressants </w:t>
      </w:r>
      <w:proofErr w:type="spellStart"/>
      <w:r w:rsidRPr="004D63C7">
        <w:rPr>
          <w:sz w:val="22"/>
        </w:rPr>
        <w:t>monotherapy</w:t>
      </w:r>
      <w:proofErr w:type="spellEnd"/>
      <w:r w:rsidRPr="004D63C7">
        <w:rPr>
          <w:sz w:val="22"/>
        </w:rPr>
        <w:t xml:space="preserve"> ranged from 19.6% to 46.9%</w:t>
      </w:r>
      <w:r>
        <w:rPr>
          <w:sz w:val="22"/>
        </w:rPr>
        <w:t xml:space="preserve"> across the databases</w:t>
      </w:r>
      <w:r w:rsidRPr="004D63C7">
        <w:rPr>
          <w:sz w:val="22"/>
        </w:rPr>
        <w:t xml:space="preserve">. </w:t>
      </w:r>
      <w:r>
        <w:rPr>
          <w:sz w:val="22"/>
        </w:rPr>
        <w:t xml:space="preserve">Data from </w:t>
      </w:r>
      <w:r w:rsidRPr="004D63C7">
        <w:rPr>
          <w:sz w:val="22"/>
        </w:rPr>
        <w:t xml:space="preserve">China showed a </w:t>
      </w:r>
      <w:r>
        <w:rPr>
          <w:sz w:val="22"/>
        </w:rPr>
        <w:t>wider</w:t>
      </w:r>
      <w:r w:rsidRPr="004D63C7">
        <w:rPr>
          <w:sz w:val="22"/>
        </w:rPr>
        <w:t xml:space="preserve"> spread of therapies which indicated more treatment alternatives and combinations</w:t>
      </w:r>
      <w:r w:rsidR="00113DF7">
        <w:rPr>
          <w:sz w:val="22"/>
        </w:rPr>
        <w:t xml:space="preserve"> (Fig. 2)</w:t>
      </w:r>
      <w:r w:rsidRPr="004D63C7">
        <w:rPr>
          <w:sz w:val="22"/>
        </w:rPr>
        <w:t xml:space="preserve">. AD group </w:t>
      </w:r>
      <w:r>
        <w:rPr>
          <w:sz w:val="22"/>
        </w:rPr>
        <w:t xml:space="preserve">had lower </w:t>
      </w:r>
      <w:r w:rsidRPr="004D63C7">
        <w:rPr>
          <w:sz w:val="22"/>
        </w:rPr>
        <w:t>incidence rates of mani</w:t>
      </w:r>
      <w:r>
        <w:rPr>
          <w:sz w:val="22"/>
        </w:rPr>
        <w:t>c</w:t>
      </w:r>
      <w:r w:rsidRPr="004D63C7">
        <w:rPr>
          <w:sz w:val="22"/>
        </w:rPr>
        <w:t xml:space="preserve"> switch than Non-AD group </w:t>
      </w:r>
      <w:r>
        <w:rPr>
          <w:sz w:val="22"/>
        </w:rPr>
        <w:t>i</w:t>
      </w:r>
      <w:r w:rsidRPr="004D63C7">
        <w:rPr>
          <w:sz w:val="22"/>
        </w:rPr>
        <w:t>n</w:t>
      </w:r>
      <w:r>
        <w:rPr>
          <w:sz w:val="22"/>
        </w:rPr>
        <w:t xml:space="preserve"> both</w:t>
      </w:r>
      <w:r w:rsidRPr="004D63C7">
        <w:rPr>
          <w:sz w:val="22"/>
        </w:rPr>
        <w:t xml:space="preserve"> acute and maintenance phase. </w:t>
      </w:r>
      <w:r>
        <w:rPr>
          <w:sz w:val="22"/>
        </w:rPr>
        <w:t>Furthermore</w:t>
      </w:r>
      <w:r w:rsidRPr="004D63C7">
        <w:rPr>
          <w:sz w:val="22"/>
        </w:rPr>
        <w:t>, incidence rates of mani</w:t>
      </w:r>
      <w:r>
        <w:rPr>
          <w:sz w:val="22"/>
        </w:rPr>
        <w:t>c</w:t>
      </w:r>
      <w:r w:rsidRPr="004D63C7">
        <w:rPr>
          <w:sz w:val="22"/>
        </w:rPr>
        <w:t xml:space="preserve"> switch were lower in AD-mono group than AD-con group in </w:t>
      </w:r>
      <w:r>
        <w:rPr>
          <w:sz w:val="22"/>
        </w:rPr>
        <w:t xml:space="preserve">both </w:t>
      </w:r>
      <w:r w:rsidRPr="004D63C7">
        <w:rPr>
          <w:sz w:val="22"/>
        </w:rPr>
        <w:t xml:space="preserve">acute </w:t>
      </w:r>
      <w:r>
        <w:rPr>
          <w:sz w:val="22"/>
        </w:rPr>
        <w:t>and</w:t>
      </w:r>
      <w:r w:rsidRPr="004D63C7">
        <w:rPr>
          <w:sz w:val="22"/>
        </w:rPr>
        <w:t xml:space="preserve"> maintenance phase.</w:t>
      </w:r>
      <w:r w:rsidRPr="004D63C7" w:rsidDel="005E4B86">
        <w:rPr>
          <w:sz w:val="22"/>
        </w:rPr>
        <w:t xml:space="preserve"> </w:t>
      </w:r>
      <w:r w:rsidRPr="004D63C7">
        <w:rPr>
          <w:sz w:val="22"/>
        </w:rPr>
        <w:t xml:space="preserve"> </w:t>
      </w:r>
    </w:p>
    <w:p w:rsidR="00F669C3" w:rsidRPr="00F669C3" w:rsidRDefault="00D251DA" w:rsidP="00F669C3">
      <w:pPr>
        <w:pBdr>
          <w:top w:val="nil"/>
          <w:left w:val="nil"/>
          <w:bottom w:val="nil"/>
          <w:right w:val="nil"/>
          <w:between w:val="nil"/>
        </w:pBdr>
        <w:spacing w:after="120" w:line="360" w:lineRule="auto"/>
        <w:jc w:val="both"/>
        <w:rPr>
          <w:rFonts w:ascii="Calibri" w:hAnsi="Calibri" w:cs="Calibri" w:hint="eastAsia"/>
          <w:color w:val="000000"/>
          <w:sz w:val="22"/>
          <w:szCs w:val="22"/>
        </w:rPr>
      </w:pPr>
      <w:bookmarkStart w:id="10" w:name="_30j0zll" w:colFirst="0" w:colLast="0"/>
      <w:bookmarkEnd w:id="10"/>
      <w:r>
        <w:rPr>
          <w:rFonts w:ascii="Calibri" w:eastAsia="Calibri" w:hAnsi="Calibri" w:cs="Calibri"/>
          <w:b/>
          <w:color w:val="000000"/>
          <w:sz w:val="22"/>
          <w:szCs w:val="22"/>
        </w:rPr>
        <w:t>Conclusion</w:t>
      </w:r>
    </w:p>
    <w:p w:rsidR="00537FD5" w:rsidRPr="00F669C3" w:rsidRDefault="00113DF7" w:rsidP="00F669C3">
      <w:pPr>
        <w:spacing w:line="360" w:lineRule="auto"/>
        <w:jc w:val="both"/>
        <w:rPr>
          <w:rFonts w:hint="eastAsia"/>
          <w:sz w:val="22"/>
        </w:rPr>
      </w:pPr>
      <w:r w:rsidRPr="004D63C7">
        <w:rPr>
          <w:sz w:val="22"/>
        </w:rPr>
        <w:t xml:space="preserve">This study </w:t>
      </w:r>
      <w:bookmarkStart w:id="11" w:name="_GoBack"/>
      <w:bookmarkEnd w:id="11"/>
      <w:r>
        <w:rPr>
          <w:sz w:val="22"/>
        </w:rPr>
        <w:t>indicated</w:t>
      </w:r>
      <w:r w:rsidRPr="004D63C7">
        <w:rPr>
          <w:sz w:val="22"/>
        </w:rPr>
        <w:t xml:space="preserve"> that antidepressants had been widely used in clinical practice to treat bipolar depression, even </w:t>
      </w:r>
      <w:r>
        <w:rPr>
          <w:sz w:val="22"/>
        </w:rPr>
        <w:t>as initial</w:t>
      </w:r>
      <w:r w:rsidRPr="004D63C7">
        <w:rPr>
          <w:sz w:val="22"/>
        </w:rPr>
        <w:t xml:space="preserve"> treatment. </w:t>
      </w:r>
      <w:r>
        <w:rPr>
          <w:sz w:val="22"/>
        </w:rPr>
        <w:t>The use of a</w:t>
      </w:r>
      <w:r w:rsidRPr="004D63C7">
        <w:rPr>
          <w:sz w:val="22"/>
        </w:rPr>
        <w:t xml:space="preserve">ntidepressants </w:t>
      </w:r>
      <w:r>
        <w:rPr>
          <w:sz w:val="22"/>
        </w:rPr>
        <w:t xml:space="preserve">did not increase the </w:t>
      </w:r>
      <w:r w:rsidRPr="004D63C7">
        <w:rPr>
          <w:sz w:val="22"/>
        </w:rPr>
        <w:t>risk of mani</w:t>
      </w:r>
      <w:r>
        <w:rPr>
          <w:sz w:val="22"/>
        </w:rPr>
        <w:t>c</w:t>
      </w:r>
      <w:r w:rsidRPr="004D63C7">
        <w:rPr>
          <w:sz w:val="22"/>
        </w:rPr>
        <w:t xml:space="preserve"> switch when compared </w:t>
      </w:r>
      <w:r>
        <w:rPr>
          <w:sz w:val="22"/>
        </w:rPr>
        <w:t>to non-</w:t>
      </w:r>
      <w:r w:rsidRPr="00CE3A50">
        <w:rPr>
          <w:sz w:val="22"/>
        </w:rPr>
        <w:t>antidepressants</w:t>
      </w:r>
      <w:r w:rsidRPr="004D63C7">
        <w:rPr>
          <w:sz w:val="22"/>
        </w:rPr>
        <w:t xml:space="preserve"> </w:t>
      </w:r>
      <w:r>
        <w:rPr>
          <w:sz w:val="22"/>
        </w:rPr>
        <w:t>t</w:t>
      </w:r>
      <w:r w:rsidRPr="004D63C7">
        <w:rPr>
          <w:sz w:val="22"/>
        </w:rPr>
        <w:t xml:space="preserve">reatment, whether alone or in combination with mood stabilizers or atypical antipsychotics. </w:t>
      </w:r>
      <w:r>
        <w:rPr>
          <w:sz w:val="22"/>
        </w:rPr>
        <w:t>Therefore, a</w:t>
      </w:r>
      <w:r>
        <w:rPr>
          <w:rFonts w:hint="eastAsia"/>
          <w:sz w:val="22"/>
        </w:rPr>
        <w:t xml:space="preserve">ntidepressants </w:t>
      </w:r>
      <w:r>
        <w:rPr>
          <w:sz w:val="22"/>
        </w:rPr>
        <w:t xml:space="preserve">could be used as </w:t>
      </w:r>
      <w:r>
        <w:rPr>
          <w:rFonts w:hint="eastAsia"/>
          <w:sz w:val="22"/>
        </w:rPr>
        <w:t xml:space="preserve">a </w:t>
      </w:r>
      <w:r>
        <w:rPr>
          <w:sz w:val="22"/>
        </w:rPr>
        <w:t>safe and effective</w:t>
      </w:r>
      <w:r>
        <w:rPr>
          <w:rFonts w:hint="eastAsia"/>
          <w:sz w:val="22"/>
        </w:rPr>
        <w:t xml:space="preserve"> alternative treat</w:t>
      </w:r>
      <w:r>
        <w:rPr>
          <w:sz w:val="22"/>
        </w:rPr>
        <w:t>ment for</w:t>
      </w:r>
      <w:r>
        <w:rPr>
          <w:rFonts w:hint="eastAsia"/>
          <w:sz w:val="22"/>
        </w:rPr>
        <w:t xml:space="preserve"> bipolar depression</w:t>
      </w:r>
      <w:r>
        <w:rPr>
          <w:sz w:val="22"/>
        </w:rPr>
        <w:t xml:space="preserve"> and be recommended</w:t>
      </w:r>
      <w:r>
        <w:rPr>
          <w:rFonts w:hint="eastAsia"/>
          <w:sz w:val="22"/>
        </w:rPr>
        <w:t xml:space="preserve"> as first-line </w:t>
      </w:r>
      <w:r>
        <w:rPr>
          <w:sz w:val="22"/>
        </w:rPr>
        <w:t>treatment</w:t>
      </w:r>
      <w:r w:rsidRPr="00F6197A">
        <w:rPr>
          <w:sz w:val="22"/>
        </w:rPr>
        <w:t>.</w:t>
      </w:r>
      <w:r w:rsidRPr="004D63C7">
        <w:rPr>
          <w:sz w:val="22"/>
        </w:rPr>
        <w:t xml:space="preserve"> </w:t>
      </w:r>
    </w:p>
    <w:p w:rsidR="00537FD5" w:rsidRDefault="00D251DA" w:rsidP="00113DF7">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lastRenderedPageBreak/>
        <w:t>References</w:t>
      </w:r>
    </w:p>
    <w:p w:rsidR="0039040F" w:rsidRPr="0039040F" w:rsidRDefault="0039040F" w:rsidP="0039040F">
      <w:pPr>
        <w:numPr>
          <w:ilvl w:val="0"/>
          <w:numId w:val="1"/>
        </w:numPr>
        <w:pBdr>
          <w:top w:val="nil"/>
          <w:left w:val="nil"/>
          <w:bottom w:val="nil"/>
          <w:right w:val="nil"/>
          <w:between w:val="nil"/>
        </w:pBdr>
        <w:jc w:val="both"/>
        <w:rPr>
          <w:rFonts w:ascii="Calibri" w:eastAsia="Calibri" w:hAnsi="Calibri" w:cs="Calibri"/>
          <w:sz w:val="22"/>
          <w:szCs w:val="22"/>
        </w:rPr>
      </w:pPr>
      <w:proofErr w:type="spellStart"/>
      <w:r w:rsidRPr="0039040F">
        <w:rPr>
          <w:rFonts w:ascii="Calibri" w:eastAsia="Calibri" w:hAnsi="Calibri" w:cs="Calibri"/>
          <w:color w:val="000000"/>
          <w:sz w:val="22"/>
          <w:szCs w:val="22"/>
        </w:rPr>
        <w:t>McGirr</w:t>
      </w:r>
      <w:proofErr w:type="spellEnd"/>
      <w:r w:rsidRPr="0039040F">
        <w:rPr>
          <w:rFonts w:ascii="Calibri" w:eastAsia="Calibri" w:hAnsi="Calibri" w:cs="Calibri"/>
          <w:color w:val="000000"/>
          <w:sz w:val="22"/>
          <w:szCs w:val="22"/>
        </w:rPr>
        <w:t xml:space="preserve"> A, </w:t>
      </w:r>
      <w:proofErr w:type="spellStart"/>
      <w:r w:rsidRPr="0039040F">
        <w:rPr>
          <w:rFonts w:ascii="Calibri" w:eastAsia="Calibri" w:hAnsi="Calibri" w:cs="Calibri"/>
          <w:color w:val="000000"/>
          <w:sz w:val="22"/>
          <w:szCs w:val="22"/>
        </w:rPr>
        <w:t>Vöhringer</w:t>
      </w:r>
      <w:proofErr w:type="spellEnd"/>
      <w:r w:rsidRPr="0039040F">
        <w:rPr>
          <w:rFonts w:ascii="Calibri" w:eastAsia="Calibri" w:hAnsi="Calibri" w:cs="Calibri"/>
          <w:color w:val="000000"/>
          <w:sz w:val="22"/>
          <w:szCs w:val="22"/>
        </w:rPr>
        <w:t xml:space="preserve"> PA, </w:t>
      </w:r>
      <w:proofErr w:type="spellStart"/>
      <w:r w:rsidRPr="0039040F">
        <w:rPr>
          <w:rFonts w:ascii="Calibri" w:eastAsia="Calibri" w:hAnsi="Calibri" w:cs="Calibri"/>
          <w:color w:val="000000"/>
          <w:sz w:val="22"/>
          <w:szCs w:val="22"/>
        </w:rPr>
        <w:t>Ghaemi</w:t>
      </w:r>
      <w:proofErr w:type="spellEnd"/>
      <w:r w:rsidRPr="0039040F">
        <w:rPr>
          <w:rFonts w:ascii="Calibri" w:eastAsia="Calibri" w:hAnsi="Calibri" w:cs="Calibri"/>
          <w:color w:val="000000"/>
          <w:sz w:val="22"/>
          <w:szCs w:val="22"/>
        </w:rPr>
        <w:t xml:space="preserve"> SN, Lam RW and </w:t>
      </w:r>
      <w:proofErr w:type="spellStart"/>
      <w:r w:rsidRPr="0039040F">
        <w:rPr>
          <w:rFonts w:ascii="Calibri" w:eastAsia="Calibri" w:hAnsi="Calibri" w:cs="Calibri"/>
          <w:color w:val="000000"/>
          <w:sz w:val="22"/>
          <w:szCs w:val="22"/>
        </w:rPr>
        <w:t>Yatham</w:t>
      </w:r>
      <w:proofErr w:type="spellEnd"/>
      <w:r w:rsidRPr="0039040F">
        <w:rPr>
          <w:rFonts w:ascii="Calibri" w:eastAsia="Calibri" w:hAnsi="Calibri" w:cs="Calibri"/>
          <w:color w:val="000000"/>
          <w:sz w:val="22"/>
          <w:szCs w:val="22"/>
        </w:rPr>
        <w:t xml:space="preserve"> LN (2016) Safety and efficacy of adjunctive second-generation antidepressant therapy with a mood </w:t>
      </w:r>
      <w:proofErr w:type="spellStart"/>
      <w:r w:rsidRPr="0039040F">
        <w:rPr>
          <w:rFonts w:ascii="Calibri" w:eastAsia="Calibri" w:hAnsi="Calibri" w:cs="Calibri"/>
          <w:color w:val="000000"/>
          <w:sz w:val="22"/>
          <w:szCs w:val="22"/>
        </w:rPr>
        <w:t>stabiliser</w:t>
      </w:r>
      <w:proofErr w:type="spellEnd"/>
      <w:r w:rsidRPr="0039040F">
        <w:rPr>
          <w:rFonts w:ascii="Calibri" w:eastAsia="Calibri" w:hAnsi="Calibri" w:cs="Calibri"/>
          <w:color w:val="000000"/>
          <w:sz w:val="22"/>
          <w:szCs w:val="22"/>
        </w:rPr>
        <w:t xml:space="preserve"> or an atypical antipsychotic in acute bipolar depression: a systematic review and meta-analysis of </w:t>
      </w:r>
      <w:proofErr w:type="spellStart"/>
      <w:r w:rsidRPr="0039040F">
        <w:rPr>
          <w:rFonts w:ascii="Calibri" w:eastAsia="Calibri" w:hAnsi="Calibri" w:cs="Calibri"/>
          <w:color w:val="000000"/>
          <w:sz w:val="22"/>
          <w:szCs w:val="22"/>
        </w:rPr>
        <w:t>randomised</w:t>
      </w:r>
      <w:proofErr w:type="spellEnd"/>
      <w:r w:rsidRPr="0039040F">
        <w:rPr>
          <w:rFonts w:ascii="Calibri" w:eastAsia="Calibri" w:hAnsi="Calibri" w:cs="Calibri"/>
          <w:color w:val="000000"/>
          <w:sz w:val="22"/>
          <w:szCs w:val="22"/>
        </w:rPr>
        <w:t xml:space="preserve"> placebo-controlled trials. The Lancet Psychiatry.</w:t>
      </w:r>
    </w:p>
    <w:p w:rsidR="00537FD5" w:rsidRPr="0039040F" w:rsidRDefault="0039040F" w:rsidP="0039040F">
      <w:pPr>
        <w:numPr>
          <w:ilvl w:val="0"/>
          <w:numId w:val="1"/>
        </w:numPr>
        <w:pBdr>
          <w:top w:val="nil"/>
          <w:left w:val="nil"/>
          <w:bottom w:val="nil"/>
          <w:right w:val="nil"/>
          <w:between w:val="nil"/>
        </w:pBdr>
        <w:jc w:val="both"/>
        <w:rPr>
          <w:rFonts w:ascii="Calibri" w:eastAsia="Calibri" w:hAnsi="Calibri" w:cs="Calibri"/>
          <w:sz w:val="22"/>
          <w:szCs w:val="22"/>
        </w:rPr>
      </w:pPr>
      <w:r w:rsidRPr="0039040F">
        <w:rPr>
          <w:rFonts w:ascii="Calibri" w:eastAsia="Calibri" w:hAnsi="Calibri" w:cs="Calibri"/>
          <w:color w:val="000000"/>
          <w:sz w:val="22"/>
          <w:szCs w:val="22"/>
        </w:rPr>
        <w:t xml:space="preserve">Truman CJ, Goldberg JF, </w:t>
      </w:r>
      <w:proofErr w:type="spellStart"/>
      <w:r w:rsidRPr="0039040F">
        <w:rPr>
          <w:rFonts w:ascii="Calibri" w:eastAsia="Calibri" w:hAnsi="Calibri" w:cs="Calibri"/>
          <w:color w:val="000000"/>
          <w:sz w:val="22"/>
          <w:szCs w:val="22"/>
        </w:rPr>
        <w:t>Ghaemi</w:t>
      </w:r>
      <w:proofErr w:type="spellEnd"/>
      <w:r w:rsidRPr="0039040F">
        <w:rPr>
          <w:rFonts w:ascii="Calibri" w:eastAsia="Calibri" w:hAnsi="Calibri" w:cs="Calibri"/>
          <w:color w:val="000000"/>
          <w:sz w:val="22"/>
          <w:szCs w:val="22"/>
        </w:rPr>
        <w:t xml:space="preserve"> SN, </w:t>
      </w:r>
      <w:proofErr w:type="spellStart"/>
      <w:r w:rsidRPr="0039040F">
        <w:rPr>
          <w:rFonts w:ascii="Calibri" w:eastAsia="Calibri" w:hAnsi="Calibri" w:cs="Calibri"/>
          <w:color w:val="000000"/>
          <w:sz w:val="22"/>
          <w:szCs w:val="22"/>
        </w:rPr>
        <w:t>Baldassano</w:t>
      </w:r>
      <w:proofErr w:type="spellEnd"/>
      <w:r w:rsidRPr="0039040F">
        <w:rPr>
          <w:rFonts w:ascii="Calibri" w:eastAsia="Calibri" w:hAnsi="Calibri" w:cs="Calibri"/>
          <w:color w:val="000000"/>
          <w:sz w:val="22"/>
          <w:szCs w:val="22"/>
        </w:rPr>
        <w:t xml:space="preserve"> CF, Wisniewski SR, </w:t>
      </w:r>
      <w:proofErr w:type="spellStart"/>
      <w:r w:rsidRPr="0039040F">
        <w:rPr>
          <w:rFonts w:ascii="Calibri" w:eastAsia="Calibri" w:hAnsi="Calibri" w:cs="Calibri"/>
          <w:color w:val="000000"/>
          <w:sz w:val="22"/>
          <w:szCs w:val="22"/>
        </w:rPr>
        <w:t>Dennehy</w:t>
      </w:r>
      <w:proofErr w:type="spellEnd"/>
      <w:r w:rsidRPr="0039040F">
        <w:rPr>
          <w:rFonts w:ascii="Calibri" w:eastAsia="Calibri" w:hAnsi="Calibri" w:cs="Calibri"/>
          <w:color w:val="000000"/>
          <w:sz w:val="22"/>
          <w:szCs w:val="22"/>
        </w:rPr>
        <w:t xml:space="preserve"> EB, </w:t>
      </w:r>
      <w:proofErr w:type="spellStart"/>
      <w:r w:rsidRPr="0039040F">
        <w:rPr>
          <w:rFonts w:ascii="Calibri" w:eastAsia="Calibri" w:hAnsi="Calibri" w:cs="Calibri"/>
          <w:color w:val="000000"/>
          <w:sz w:val="22"/>
          <w:szCs w:val="22"/>
        </w:rPr>
        <w:t>Thase</w:t>
      </w:r>
      <w:proofErr w:type="spellEnd"/>
      <w:r w:rsidRPr="0039040F">
        <w:rPr>
          <w:rFonts w:ascii="Calibri" w:eastAsia="Calibri" w:hAnsi="Calibri" w:cs="Calibri"/>
          <w:color w:val="000000"/>
          <w:sz w:val="22"/>
          <w:szCs w:val="22"/>
        </w:rPr>
        <w:t xml:space="preserve"> ME and Sachs GS (2007) Self-reported history of manic/hypomanic switch associated with antidepressant use: data from the Systematic Treatment Enhancement Program for Bipolar Disorder (STEP-BD). The Journal of clinical psychiatry 68, 1472–9. Available at </w:t>
      </w:r>
      <w:hyperlink r:id="rId9" w:history="1">
        <w:r w:rsidRPr="00ED4E35">
          <w:rPr>
            <w:rStyle w:val="a9"/>
            <w:rFonts w:ascii="Calibri" w:eastAsia="Calibri" w:hAnsi="Calibri" w:cs="Calibri"/>
            <w:sz w:val="22"/>
            <w:szCs w:val="22"/>
          </w:rPr>
          <w:t>http://www.ncbi.nlm.nih.gov/pubmed/17960960</w:t>
        </w:r>
      </w:hyperlink>
      <w:r w:rsidRPr="0039040F">
        <w:rPr>
          <w:rFonts w:ascii="Calibri" w:eastAsia="Calibri" w:hAnsi="Calibri" w:cs="Calibri"/>
          <w:color w:val="000000"/>
          <w:sz w:val="22"/>
          <w:szCs w:val="22"/>
        </w:rPr>
        <w:t>.</w:t>
      </w:r>
    </w:p>
    <w:p w:rsidR="0039040F" w:rsidRDefault="0039040F" w:rsidP="0039040F">
      <w:pPr>
        <w:numPr>
          <w:ilvl w:val="0"/>
          <w:numId w:val="1"/>
        </w:numPr>
        <w:pBdr>
          <w:top w:val="nil"/>
          <w:left w:val="nil"/>
          <w:bottom w:val="nil"/>
          <w:right w:val="nil"/>
          <w:between w:val="nil"/>
        </w:pBdr>
        <w:jc w:val="both"/>
        <w:rPr>
          <w:rFonts w:ascii="Calibri" w:eastAsia="Calibri" w:hAnsi="Calibri" w:cs="Calibri"/>
          <w:sz w:val="22"/>
          <w:szCs w:val="22"/>
        </w:rPr>
      </w:pPr>
      <w:proofErr w:type="spellStart"/>
      <w:r w:rsidRPr="0039040F">
        <w:rPr>
          <w:rFonts w:ascii="Calibri" w:eastAsia="Calibri" w:hAnsi="Calibri" w:cs="Calibri"/>
          <w:sz w:val="22"/>
          <w:szCs w:val="22"/>
        </w:rPr>
        <w:t>Valentí</w:t>
      </w:r>
      <w:proofErr w:type="spellEnd"/>
      <w:r w:rsidRPr="0039040F">
        <w:rPr>
          <w:rFonts w:ascii="Calibri" w:eastAsia="Calibri" w:hAnsi="Calibri" w:cs="Calibri"/>
          <w:sz w:val="22"/>
          <w:szCs w:val="22"/>
        </w:rPr>
        <w:t xml:space="preserve"> M, </w:t>
      </w:r>
      <w:proofErr w:type="spellStart"/>
      <w:r w:rsidRPr="0039040F">
        <w:rPr>
          <w:rFonts w:ascii="Calibri" w:eastAsia="Calibri" w:hAnsi="Calibri" w:cs="Calibri"/>
          <w:sz w:val="22"/>
          <w:szCs w:val="22"/>
        </w:rPr>
        <w:t>Pacchiarotti</w:t>
      </w:r>
      <w:proofErr w:type="spellEnd"/>
      <w:r w:rsidRPr="0039040F">
        <w:rPr>
          <w:rFonts w:ascii="Calibri" w:eastAsia="Calibri" w:hAnsi="Calibri" w:cs="Calibri"/>
          <w:sz w:val="22"/>
          <w:szCs w:val="22"/>
        </w:rPr>
        <w:t xml:space="preserve"> I, </w:t>
      </w:r>
      <w:proofErr w:type="spellStart"/>
      <w:r w:rsidRPr="0039040F">
        <w:rPr>
          <w:rFonts w:ascii="Calibri" w:eastAsia="Calibri" w:hAnsi="Calibri" w:cs="Calibri"/>
          <w:sz w:val="22"/>
          <w:szCs w:val="22"/>
        </w:rPr>
        <w:t>Bonnín</w:t>
      </w:r>
      <w:proofErr w:type="spellEnd"/>
      <w:r w:rsidRPr="0039040F">
        <w:rPr>
          <w:rFonts w:ascii="Calibri" w:eastAsia="Calibri" w:hAnsi="Calibri" w:cs="Calibri"/>
          <w:sz w:val="22"/>
          <w:szCs w:val="22"/>
        </w:rPr>
        <w:t xml:space="preserve"> CM, Rosa AR, </w:t>
      </w:r>
      <w:proofErr w:type="spellStart"/>
      <w:r w:rsidRPr="0039040F">
        <w:rPr>
          <w:rFonts w:ascii="Calibri" w:eastAsia="Calibri" w:hAnsi="Calibri" w:cs="Calibri"/>
          <w:sz w:val="22"/>
          <w:szCs w:val="22"/>
        </w:rPr>
        <w:t>Popovic</w:t>
      </w:r>
      <w:proofErr w:type="spellEnd"/>
      <w:r w:rsidRPr="0039040F">
        <w:rPr>
          <w:rFonts w:ascii="Calibri" w:eastAsia="Calibri" w:hAnsi="Calibri" w:cs="Calibri"/>
          <w:sz w:val="22"/>
          <w:szCs w:val="22"/>
        </w:rPr>
        <w:t xml:space="preserve"> D, </w:t>
      </w:r>
      <w:proofErr w:type="spellStart"/>
      <w:r w:rsidRPr="0039040F">
        <w:rPr>
          <w:rFonts w:ascii="Calibri" w:eastAsia="Calibri" w:hAnsi="Calibri" w:cs="Calibri"/>
          <w:sz w:val="22"/>
          <w:szCs w:val="22"/>
        </w:rPr>
        <w:t>Nivoli</w:t>
      </w:r>
      <w:proofErr w:type="spellEnd"/>
      <w:r w:rsidRPr="0039040F">
        <w:rPr>
          <w:rFonts w:ascii="Calibri" w:eastAsia="Calibri" w:hAnsi="Calibri" w:cs="Calibri"/>
          <w:sz w:val="22"/>
          <w:szCs w:val="22"/>
        </w:rPr>
        <w:t xml:space="preserve"> AMA, </w:t>
      </w:r>
      <w:proofErr w:type="spellStart"/>
      <w:r w:rsidRPr="0039040F">
        <w:rPr>
          <w:rFonts w:ascii="Calibri" w:eastAsia="Calibri" w:hAnsi="Calibri" w:cs="Calibri"/>
          <w:sz w:val="22"/>
          <w:szCs w:val="22"/>
        </w:rPr>
        <w:t>Goikolea</w:t>
      </w:r>
      <w:proofErr w:type="spellEnd"/>
      <w:r w:rsidRPr="0039040F">
        <w:rPr>
          <w:rFonts w:ascii="Calibri" w:eastAsia="Calibri" w:hAnsi="Calibri" w:cs="Calibri"/>
          <w:sz w:val="22"/>
          <w:szCs w:val="22"/>
        </w:rPr>
        <w:t xml:space="preserve"> JM, </w:t>
      </w:r>
      <w:proofErr w:type="spellStart"/>
      <w:r w:rsidRPr="0039040F">
        <w:rPr>
          <w:rFonts w:ascii="Calibri" w:eastAsia="Calibri" w:hAnsi="Calibri" w:cs="Calibri"/>
          <w:sz w:val="22"/>
          <w:szCs w:val="22"/>
        </w:rPr>
        <w:t>Murru</w:t>
      </w:r>
      <w:proofErr w:type="spellEnd"/>
      <w:r w:rsidRPr="0039040F">
        <w:rPr>
          <w:rFonts w:ascii="Calibri" w:eastAsia="Calibri" w:hAnsi="Calibri" w:cs="Calibri"/>
          <w:sz w:val="22"/>
          <w:szCs w:val="22"/>
        </w:rPr>
        <w:t xml:space="preserve"> A, </w:t>
      </w:r>
      <w:proofErr w:type="spellStart"/>
      <w:r w:rsidRPr="0039040F">
        <w:rPr>
          <w:rFonts w:ascii="Calibri" w:eastAsia="Calibri" w:hAnsi="Calibri" w:cs="Calibri"/>
          <w:sz w:val="22"/>
          <w:szCs w:val="22"/>
        </w:rPr>
        <w:t>Undurraga</w:t>
      </w:r>
      <w:proofErr w:type="spellEnd"/>
      <w:r w:rsidRPr="0039040F">
        <w:rPr>
          <w:rFonts w:ascii="Calibri" w:eastAsia="Calibri" w:hAnsi="Calibri" w:cs="Calibri"/>
          <w:sz w:val="22"/>
          <w:szCs w:val="22"/>
        </w:rPr>
        <w:t xml:space="preserve"> J, Colom F and </w:t>
      </w:r>
      <w:proofErr w:type="spellStart"/>
      <w:r w:rsidRPr="0039040F">
        <w:rPr>
          <w:rFonts w:ascii="Calibri" w:eastAsia="Calibri" w:hAnsi="Calibri" w:cs="Calibri"/>
          <w:sz w:val="22"/>
          <w:szCs w:val="22"/>
        </w:rPr>
        <w:t>Vieta</w:t>
      </w:r>
      <w:proofErr w:type="spellEnd"/>
      <w:r w:rsidRPr="0039040F">
        <w:rPr>
          <w:rFonts w:ascii="Calibri" w:eastAsia="Calibri" w:hAnsi="Calibri" w:cs="Calibri"/>
          <w:sz w:val="22"/>
          <w:szCs w:val="22"/>
        </w:rPr>
        <w:t xml:space="preserve"> E (2012) Risk factors for antidepressant-related switch to mania. Journal of Clinical Psychiatry.</w:t>
      </w:r>
    </w:p>
    <w:sectPr w:rsidR="0039040F">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1DA" w:rsidRDefault="00D251DA">
      <w:r>
        <w:separator/>
      </w:r>
    </w:p>
  </w:endnote>
  <w:endnote w:type="continuationSeparator" w:id="0">
    <w:p w:rsidR="00D251DA" w:rsidRDefault="00D251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FD5" w:rsidRDefault="00537FD5">
    <w:pPr>
      <w:pBdr>
        <w:top w:val="nil"/>
        <w:left w:val="nil"/>
        <w:bottom w:val="nil"/>
        <w:right w:val="nil"/>
        <w:between w:val="nil"/>
      </w:pBdr>
      <w:tabs>
        <w:tab w:val="center" w:pos="4320"/>
        <w:tab w:val="right" w:pos="8640"/>
      </w:tabs>
      <w:jc w:val="right"/>
      <w:rPr>
        <w:color w:val="000000"/>
      </w:rPr>
    </w:pPr>
  </w:p>
  <w:p w:rsidR="00537FD5" w:rsidRDefault="00537FD5">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1DA" w:rsidRDefault="00D251DA">
      <w:r>
        <w:separator/>
      </w:r>
    </w:p>
  </w:footnote>
  <w:footnote w:type="continuationSeparator" w:id="0">
    <w:p w:rsidR="00D251DA" w:rsidRDefault="00D251D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CD2005"/>
    <w:multiLevelType w:val="multilevel"/>
    <w:tmpl w:val="342AB9D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FD5"/>
    <w:rsid w:val="000F6E69"/>
    <w:rsid w:val="00113DF7"/>
    <w:rsid w:val="0039040F"/>
    <w:rsid w:val="00537FD5"/>
    <w:rsid w:val="00752CC4"/>
    <w:rsid w:val="00A67FD6"/>
    <w:rsid w:val="00C421DA"/>
    <w:rsid w:val="00D251DA"/>
    <w:rsid w:val="00D4707E"/>
    <w:rsid w:val="00F32146"/>
    <w:rsid w:val="00F66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3FCEFA2-0BE9-4850-A097-9AB4CCFFD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pBdr>
        <w:top w:val="nil"/>
        <w:left w:val="nil"/>
        <w:bottom w:val="nil"/>
        <w:right w:val="nil"/>
        <w:between w:val="nil"/>
      </w:pBdr>
      <w:spacing w:before="240" w:after="120"/>
      <w:jc w:val="center"/>
      <w:outlineLvl w:val="0"/>
    </w:pPr>
    <w:rPr>
      <w:b/>
      <w:color w:val="000000"/>
    </w:rPr>
  </w:style>
  <w:style w:type="paragraph" w:styleId="2">
    <w:name w:val="heading 2"/>
    <w:basedOn w:val="a"/>
    <w:next w:val="a"/>
    <w:pPr>
      <w:keepNext/>
      <w:pBdr>
        <w:top w:val="nil"/>
        <w:left w:val="nil"/>
        <w:bottom w:val="nil"/>
        <w:right w:val="nil"/>
        <w:between w:val="nil"/>
      </w:pBdr>
      <w:jc w:val="center"/>
      <w:outlineLvl w:val="1"/>
    </w:pPr>
    <w:rPr>
      <w:b/>
      <w:color w:val="000000"/>
      <w:sz w:val="24"/>
      <w:szCs w:val="24"/>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pBdr>
        <w:top w:val="nil"/>
        <w:left w:val="nil"/>
        <w:bottom w:val="nil"/>
        <w:right w:val="nil"/>
        <w:between w:val="nil"/>
      </w:pBdr>
      <w:jc w:val="center"/>
      <w:outlineLvl w:val="4"/>
    </w:pPr>
    <w:rPr>
      <w:b/>
      <w:color w:val="000000"/>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top w:w="0" w:type="dxa"/>
        <w:left w:w="115" w:type="dxa"/>
        <w:bottom w:w="0" w:type="dxa"/>
        <w:right w:w="115" w:type="dxa"/>
      </w:tblCellMar>
    </w:tblPr>
  </w:style>
  <w:style w:type="paragraph" w:styleId="a6">
    <w:name w:val="header"/>
    <w:basedOn w:val="a"/>
    <w:link w:val="Char"/>
    <w:uiPriority w:val="99"/>
    <w:unhideWhenUsed/>
    <w:rsid w:val="00F321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F32146"/>
    <w:rPr>
      <w:sz w:val="18"/>
      <w:szCs w:val="18"/>
    </w:rPr>
  </w:style>
  <w:style w:type="paragraph" w:styleId="a7">
    <w:name w:val="footer"/>
    <w:basedOn w:val="a"/>
    <w:link w:val="Char0"/>
    <w:uiPriority w:val="99"/>
    <w:unhideWhenUsed/>
    <w:rsid w:val="00F32146"/>
    <w:pPr>
      <w:tabs>
        <w:tab w:val="center" w:pos="4153"/>
        <w:tab w:val="right" w:pos="8306"/>
      </w:tabs>
      <w:snapToGrid w:val="0"/>
    </w:pPr>
    <w:rPr>
      <w:sz w:val="18"/>
      <w:szCs w:val="18"/>
    </w:rPr>
  </w:style>
  <w:style w:type="character" w:customStyle="1" w:styleId="Char0">
    <w:name w:val="页脚 Char"/>
    <w:basedOn w:val="a0"/>
    <w:link w:val="a7"/>
    <w:uiPriority w:val="99"/>
    <w:rsid w:val="00F32146"/>
    <w:rPr>
      <w:sz w:val="18"/>
      <w:szCs w:val="18"/>
    </w:rPr>
  </w:style>
  <w:style w:type="character" w:styleId="a8">
    <w:name w:val="annotation reference"/>
    <w:uiPriority w:val="99"/>
    <w:semiHidden/>
    <w:unhideWhenUsed/>
    <w:rsid w:val="00D4707E"/>
    <w:rPr>
      <w:sz w:val="21"/>
      <w:szCs w:val="21"/>
    </w:rPr>
  </w:style>
  <w:style w:type="character" w:styleId="a9">
    <w:name w:val="Hyperlink"/>
    <w:basedOn w:val="a0"/>
    <w:uiPriority w:val="99"/>
    <w:unhideWhenUsed/>
    <w:rsid w:val="0039040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5196487">
      <w:bodyDiv w:val="1"/>
      <w:marLeft w:val="0"/>
      <w:marRight w:val="0"/>
      <w:marTop w:val="0"/>
      <w:marBottom w:val="0"/>
      <w:divBdr>
        <w:top w:val="none" w:sz="0" w:space="0" w:color="auto"/>
        <w:left w:val="none" w:sz="0" w:space="0" w:color="auto"/>
        <w:bottom w:val="none" w:sz="0" w:space="0" w:color="auto"/>
        <w:right w:val="none" w:sz="0" w:space="0" w:color="auto"/>
      </w:divBdr>
    </w:div>
    <w:div w:id="1410888903">
      <w:bodyDiv w:val="1"/>
      <w:marLeft w:val="0"/>
      <w:marRight w:val="0"/>
      <w:marTop w:val="0"/>
      <w:marBottom w:val="0"/>
      <w:divBdr>
        <w:top w:val="none" w:sz="0" w:space="0" w:color="auto"/>
        <w:left w:val="none" w:sz="0" w:space="0" w:color="auto"/>
        <w:bottom w:val="none" w:sz="0" w:space="0" w:color="auto"/>
        <w:right w:val="none" w:sz="0" w:space="0" w:color="auto"/>
      </w:divBdr>
    </w:div>
    <w:div w:id="1444770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cbi.nlm.nih.gov/pubmed/179609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926</Words>
  <Characters>5280</Characters>
  <Application>Microsoft Office Word</Application>
  <DocSecurity>0</DocSecurity>
  <Lines>44</Lines>
  <Paragraphs>12</Paragraphs>
  <ScaleCrop>false</ScaleCrop>
  <Company/>
  <LinksUpToDate>false</LinksUpToDate>
  <CharactersWithSpaces>6194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syyx</dc:creator>
  <cp:lastModifiedBy>Xinwei</cp:lastModifiedBy>
  <cp:revision>6</cp:revision>
  <dcterms:created xsi:type="dcterms:W3CDTF">2020-09-28T08:45:00Z</dcterms:created>
  <dcterms:modified xsi:type="dcterms:W3CDTF">2020-09-28T09:43:00Z</dcterms:modified>
</cp:coreProperties>
</file>