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59E809D" w14:textId="558BD4DE" w:rsidR="00F31386" w:rsidRDefault="00040033">
      <w:pPr>
        <w:pBdr>
          <w:top w:val="nil"/>
          <w:left w:val="nil"/>
          <w:bottom w:val="nil"/>
          <w:right w:val="nil"/>
          <w:between w:val="nil"/>
        </w:pBdr>
        <w:spacing w:after="280"/>
        <w:jc w:val="center"/>
        <w:rPr>
          <w:rFonts w:ascii="Calibri" w:eastAsia="Calibri" w:hAnsi="Calibri" w:cs="Calibri"/>
          <w:b/>
          <w:sz w:val="22"/>
          <w:szCs w:val="22"/>
          <w:vertAlign w:val="superscript"/>
        </w:rPr>
      </w:pPr>
      <w:r>
        <w:rPr>
          <w:rFonts w:ascii="Calibri" w:eastAsia="Calibri" w:hAnsi="Calibri" w:cs="Calibri"/>
          <w:b/>
          <w:color w:val="000000"/>
          <w:sz w:val="28"/>
          <w:szCs w:val="28"/>
        </w:rPr>
        <w:t>The secret (outpatient) garden:</w:t>
      </w:r>
      <w:r w:rsidR="00A33BB2">
        <w:rPr>
          <w:rFonts w:ascii="Calibri" w:eastAsia="Calibri" w:hAnsi="Calibri" w:cs="Calibri"/>
          <w:b/>
          <w:color w:val="000000"/>
          <w:sz w:val="28"/>
          <w:szCs w:val="28"/>
        </w:rPr>
        <w:br/>
      </w:r>
      <w:r w:rsidR="00C63DCD">
        <w:rPr>
          <w:rFonts w:ascii="Calibri" w:eastAsia="Calibri" w:hAnsi="Calibri" w:cs="Calibri"/>
          <w:b/>
          <w:color w:val="000000"/>
          <w:sz w:val="28"/>
          <w:szCs w:val="28"/>
        </w:rPr>
        <w:t xml:space="preserve">Using </w:t>
      </w:r>
      <w:r w:rsidR="008266F4">
        <w:rPr>
          <w:rFonts w:ascii="Calibri" w:eastAsia="Calibri" w:hAnsi="Calibri" w:cs="Calibri"/>
          <w:b/>
          <w:color w:val="000000"/>
          <w:sz w:val="28"/>
          <w:szCs w:val="28"/>
        </w:rPr>
        <w:t>the</w:t>
      </w:r>
      <w:r w:rsidR="00C63DCD">
        <w:rPr>
          <w:rFonts w:ascii="Calibri" w:eastAsia="Calibri" w:hAnsi="Calibri" w:cs="Calibri"/>
          <w:b/>
          <w:color w:val="000000"/>
          <w:sz w:val="28"/>
          <w:szCs w:val="28"/>
        </w:rPr>
        <w:t xml:space="preserve"> OMOP </w:t>
      </w:r>
      <w:r w:rsidR="008266F4">
        <w:rPr>
          <w:rFonts w:ascii="Calibri" w:eastAsia="Calibri" w:hAnsi="Calibri" w:cs="Calibri"/>
          <w:b/>
          <w:color w:val="000000"/>
          <w:sz w:val="28"/>
          <w:szCs w:val="28"/>
        </w:rPr>
        <w:t xml:space="preserve">CDM </w:t>
      </w:r>
      <w:r w:rsidR="00C63DCD">
        <w:rPr>
          <w:rFonts w:ascii="Calibri" w:eastAsia="Calibri" w:hAnsi="Calibri" w:cs="Calibri"/>
          <w:b/>
          <w:color w:val="000000"/>
          <w:sz w:val="28"/>
          <w:szCs w:val="28"/>
        </w:rPr>
        <w:t xml:space="preserve">to better differentiate between </w:t>
      </w:r>
      <w:r w:rsidR="008266F4">
        <w:rPr>
          <w:rFonts w:ascii="Calibri" w:eastAsia="Calibri" w:hAnsi="Calibri" w:cs="Calibri"/>
          <w:b/>
          <w:color w:val="000000"/>
          <w:sz w:val="28"/>
          <w:szCs w:val="28"/>
        </w:rPr>
        <w:t>o</w:t>
      </w:r>
      <w:r w:rsidR="00A33BB2">
        <w:rPr>
          <w:rFonts w:ascii="Calibri" w:eastAsia="Calibri" w:hAnsi="Calibri" w:cs="Calibri"/>
          <w:b/>
          <w:color w:val="000000"/>
          <w:sz w:val="28"/>
          <w:szCs w:val="28"/>
        </w:rPr>
        <w:t>utpatient</w:t>
      </w:r>
      <w:r w:rsidR="008266F4">
        <w:rPr>
          <w:rFonts w:ascii="Calibri" w:eastAsia="Calibri" w:hAnsi="Calibri" w:cs="Calibri"/>
          <w:b/>
          <w:color w:val="000000"/>
          <w:sz w:val="28"/>
          <w:szCs w:val="28"/>
        </w:rPr>
        <w:t xml:space="preserve"> and</w:t>
      </w:r>
      <w:r w:rsidR="00A33BB2">
        <w:rPr>
          <w:rFonts w:ascii="Calibri" w:eastAsia="Calibri" w:hAnsi="Calibri" w:cs="Calibri"/>
          <w:b/>
          <w:color w:val="000000"/>
          <w:sz w:val="28"/>
          <w:szCs w:val="28"/>
        </w:rPr>
        <w:t xml:space="preserve"> </w:t>
      </w:r>
      <w:r w:rsidR="008266F4">
        <w:rPr>
          <w:rFonts w:ascii="Calibri" w:eastAsia="Calibri" w:hAnsi="Calibri" w:cs="Calibri"/>
          <w:b/>
          <w:color w:val="000000"/>
          <w:sz w:val="28"/>
          <w:szCs w:val="28"/>
        </w:rPr>
        <w:t>i</w:t>
      </w:r>
      <w:r w:rsidR="00A33BB2">
        <w:rPr>
          <w:rFonts w:ascii="Calibri" w:eastAsia="Calibri" w:hAnsi="Calibri" w:cs="Calibri"/>
          <w:b/>
          <w:color w:val="000000"/>
          <w:sz w:val="28"/>
          <w:szCs w:val="28"/>
        </w:rPr>
        <w:t xml:space="preserve">npatient </w:t>
      </w:r>
      <w:r w:rsidR="008266F4">
        <w:rPr>
          <w:rFonts w:ascii="Calibri" w:eastAsia="Calibri" w:hAnsi="Calibri" w:cs="Calibri"/>
          <w:b/>
          <w:color w:val="000000"/>
          <w:sz w:val="28"/>
          <w:szCs w:val="28"/>
        </w:rPr>
        <w:t>d</w:t>
      </w:r>
      <w:r w:rsidR="00A33BB2">
        <w:rPr>
          <w:rFonts w:ascii="Calibri" w:eastAsia="Calibri" w:hAnsi="Calibri" w:cs="Calibri"/>
          <w:b/>
          <w:color w:val="000000"/>
          <w:sz w:val="28"/>
          <w:szCs w:val="28"/>
        </w:rPr>
        <w:t xml:space="preserve">iagnoses in VA </w:t>
      </w:r>
      <w:r w:rsidR="00BB0B0E">
        <w:rPr>
          <w:rFonts w:ascii="Calibri" w:eastAsia="Calibri" w:hAnsi="Calibri" w:cs="Calibri"/>
          <w:b/>
          <w:color w:val="000000"/>
          <w:sz w:val="28"/>
          <w:szCs w:val="28"/>
        </w:rPr>
        <w:t>EHR</w:t>
      </w:r>
      <w:r w:rsidR="008266F4">
        <w:rPr>
          <w:rFonts w:ascii="Calibri" w:eastAsia="Calibri" w:hAnsi="Calibri" w:cs="Calibri"/>
          <w:b/>
          <w:color w:val="000000"/>
          <w:sz w:val="28"/>
          <w:szCs w:val="28"/>
        </w:rPr>
        <w:t xml:space="preserve"> data</w:t>
      </w:r>
    </w:p>
    <w:p w14:paraId="1ADAFA54" w14:textId="39E40620" w:rsidR="00F31386" w:rsidRDefault="00A33BB2" w:rsidP="00A33BB2">
      <w:pPr>
        <w:pBdr>
          <w:top w:val="nil"/>
          <w:left w:val="nil"/>
          <w:bottom w:val="nil"/>
          <w:right w:val="nil"/>
          <w:between w:val="nil"/>
        </w:pBdr>
        <w:jc w:val="center"/>
        <w:rPr>
          <w:rFonts w:ascii="Calibri" w:eastAsia="Calibri" w:hAnsi="Calibri" w:cs="Calibri"/>
          <w:b/>
          <w:color w:val="000000"/>
          <w:sz w:val="22"/>
          <w:szCs w:val="22"/>
        </w:rPr>
        <w:sectPr w:rsidR="00F3138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r>
        <w:rPr>
          <w:rFonts w:ascii="Calibri" w:eastAsia="Calibri" w:hAnsi="Calibri" w:cs="Calibri"/>
          <w:b/>
          <w:sz w:val="22"/>
          <w:szCs w:val="22"/>
        </w:rPr>
        <w:t>Elise Gatsby, Ben</w:t>
      </w:r>
      <w:r w:rsidR="0036712A">
        <w:rPr>
          <w:rFonts w:ascii="Calibri" w:eastAsia="Calibri" w:hAnsi="Calibri" w:cs="Calibri"/>
          <w:b/>
          <w:sz w:val="22"/>
          <w:szCs w:val="22"/>
        </w:rPr>
        <w:t>jamin</w:t>
      </w:r>
      <w:r>
        <w:rPr>
          <w:rFonts w:ascii="Calibri" w:eastAsia="Calibri" w:hAnsi="Calibri" w:cs="Calibri"/>
          <w:b/>
          <w:sz w:val="22"/>
          <w:szCs w:val="22"/>
        </w:rPr>
        <w:t xml:space="preserve"> Viernes, </w:t>
      </w:r>
      <w:r w:rsidR="0036712A">
        <w:rPr>
          <w:rFonts w:ascii="Calibri" w:eastAsia="Calibri" w:hAnsi="Calibri" w:cs="Calibri"/>
          <w:b/>
          <w:sz w:val="22"/>
          <w:szCs w:val="22"/>
        </w:rPr>
        <w:t xml:space="preserve">Michael E Matheny, </w:t>
      </w:r>
      <w:r>
        <w:rPr>
          <w:rFonts w:ascii="Calibri" w:eastAsia="Calibri" w:hAnsi="Calibri" w:cs="Calibri"/>
          <w:b/>
          <w:sz w:val="22"/>
          <w:szCs w:val="22"/>
        </w:rPr>
        <w:t>Scott L DuVall</w:t>
      </w:r>
      <w:r w:rsidR="008E1285">
        <w:rPr>
          <w:rFonts w:ascii="Calibri" w:eastAsia="Calibri" w:hAnsi="Calibri" w:cs="Calibri"/>
          <w:b/>
          <w:sz w:val="22"/>
          <w:szCs w:val="22"/>
        </w:rPr>
        <w:t xml:space="preserve">, </w:t>
      </w:r>
      <w:r>
        <w:rPr>
          <w:rFonts w:ascii="Calibri" w:eastAsia="Calibri" w:hAnsi="Calibri" w:cs="Calibri"/>
          <w:b/>
          <w:color w:val="000000"/>
          <w:sz w:val="22"/>
          <w:szCs w:val="22"/>
        </w:rPr>
        <w:t>Kristine E Lynch</w:t>
      </w:r>
    </w:p>
    <w:p w14:paraId="5DC22EA6" w14:textId="67E0CD37" w:rsidR="00F31386" w:rsidRDefault="00F87E36">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w:t>
      </w:r>
      <w:r w:rsidR="0036712A">
        <w:rPr>
          <w:rFonts w:ascii="Calibri" w:eastAsia="Calibri" w:hAnsi="Calibri" w:cs="Calibri"/>
          <w:b/>
          <w:sz w:val="22"/>
          <w:szCs w:val="22"/>
        </w:rPr>
        <w:t>d</w:t>
      </w:r>
    </w:p>
    <w:p w14:paraId="4AFCF730" w14:textId="559A67C5" w:rsidR="00A33BB2" w:rsidRDefault="60F674C6" w:rsidP="60F674C6">
      <w:pPr>
        <w:pBdr>
          <w:top w:val="nil"/>
          <w:left w:val="nil"/>
          <w:bottom w:val="nil"/>
          <w:right w:val="nil"/>
          <w:between w:val="nil"/>
        </w:pBdr>
        <w:spacing w:after="120"/>
        <w:jc w:val="both"/>
        <w:rPr>
          <w:rFonts w:ascii="Calibri" w:eastAsia="Calibri" w:hAnsi="Calibri" w:cs="Calibri"/>
          <w:color w:val="000000"/>
          <w:sz w:val="22"/>
          <w:szCs w:val="22"/>
        </w:rPr>
      </w:pPr>
      <w:r w:rsidRPr="60F674C6">
        <w:rPr>
          <w:rFonts w:ascii="Calibri" w:eastAsia="Calibri" w:hAnsi="Calibri" w:cs="Calibri"/>
          <w:color w:val="000000" w:themeColor="text1"/>
          <w:sz w:val="22"/>
          <w:szCs w:val="22"/>
        </w:rPr>
        <w:t xml:space="preserve">The ability of administrative coding data to accurately identify a condition can vary across databases and multiple approaches to mitigate misclassification exist. For instance, requiring 2 or more outpatient diagnosis records or 1 or more inpatient diagnosis records is a common approach to remove rule-out or differential diagnoses which may be recorded in ambulatory care settings. This requires a clear differentiation between outpatient and inpatient settings which may vary between electronic health record (EHR) systems. In the Department of Veterans Affairs (VA), differentiating between outpatient and inpatient settings can be challenging </w:t>
      </w:r>
      <w:r w:rsidR="004D5806">
        <w:rPr>
          <w:rFonts w:ascii="Calibri" w:eastAsia="Calibri" w:hAnsi="Calibri" w:cs="Calibri"/>
          <w:color w:val="000000" w:themeColor="text1"/>
          <w:sz w:val="22"/>
          <w:szCs w:val="22"/>
        </w:rPr>
        <w:t xml:space="preserve">as a portion of inpatient consultations are documented as outpatient visits </w:t>
      </w:r>
      <w:proofErr w:type="gramStart"/>
      <w:r w:rsidR="004D5806">
        <w:rPr>
          <w:rFonts w:ascii="Calibri" w:eastAsia="Calibri" w:hAnsi="Calibri" w:cs="Calibri"/>
          <w:color w:val="000000" w:themeColor="text1"/>
          <w:sz w:val="22"/>
          <w:szCs w:val="22"/>
        </w:rPr>
        <w:t>in order to</w:t>
      </w:r>
      <w:proofErr w:type="gramEnd"/>
      <w:r w:rsidR="004D5806">
        <w:rPr>
          <w:rFonts w:ascii="Calibri" w:eastAsia="Calibri" w:hAnsi="Calibri" w:cs="Calibri"/>
          <w:color w:val="000000" w:themeColor="text1"/>
          <w:sz w:val="22"/>
          <w:szCs w:val="22"/>
        </w:rPr>
        <w:t xml:space="preserve"> capture clinical workload.  </w:t>
      </w:r>
      <w:r w:rsidRPr="60F674C6">
        <w:rPr>
          <w:rFonts w:ascii="Calibri" w:eastAsia="Calibri" w:hAnsi="Calibri" w:cs="Calibri"/>
          <w:color w:val="000000" w:themeColor="text1"/>
          <w:sz w:val="22"/>
          <w:szCs w:val="22"/>
        </w:rPr>
        <w:t xml:space="preserve">For users of the VA Corporate Data Warehouse (CDW) (the source data for VA OMOP), one approach to separating outpatient and inpatient records is to classify diagnoses according to the source table: outpatient workload vs. inpatient files. A limitation of this approach is that it does </w:t>
      </w:r>
      <w:r w:rsidR="001C7475">
        <w:rPr>
          <w:rFonts w:ascii="Calibri" w:eastAsia="Calibri" w:hAnsi="Calibri" w:cs="Calibri"/>
          <w:color w:val="000000" w:themeColor="text1"/>
          <w:sz w:val="22"/>
          <w:szCs w:val="22"/>
        </w:rPr>
        <w:t xml:space="preserve">not </w:t>
      </w:r>
      <w:r w:rsidRPr="60F674C6">
        <w:rPr>
          <w:rFonts w:ascii="Calibri" w:eastAsia="Calibri" w:hAnsi="Calibri" w:cs="Calibri"/>
          <w:color w:val="000000" w:themeColor="text1"/>
          <w:sz w:val="22"/>
          <w:szCs w:val="22"/>
        </w:rPr>
        <w:t xml:space="preserve">address diagnoses that may be inpatient events but stored in the outpatient workload file. </w:t>
      </w:r>
      <w:r w:rsidR="004D5806">
        <w:rPr>
          <w:rFonts w:ascii="Calibri" w:eastAsia="Calibri" w:hAnsi="Calibri" w:cs="Calibri"/>
          <w:color w:val="000000" w:themeColor="text1"/>
          <w:sz w:val="22"/>
          <w:szCs w:val="22"/>
        </w:rPr>
        <w:t xml:space="preserve">As part of the transformation process from CDW to OMOP, we developed heuristics to identify and assign the inpatient workload that appeared as outpatient appropriately </w:t>
      </w:r>
      <w:r w:rsidR="001C7475">
        <w:rPr>
          <w:rFonts w:ascii="Calibri" w:eastAsia="Calibri" w:hAnsi="Calibri" w:cs="Calibri"/>
          <w:color w:val="000000" w:themeColor="text1"/>
          <w:sz w:val="22"/>
          <w:szCs w:val="22"/>
        </w:rPr>
        <w:t xml:space="preserve">within </w:t>
      </w:r>
      <w:r w:rsidR="001C7475" w:rsidRPr="60F674C6">
        <w:rPr>
          <w:rFonts w:ascii="Calibri" w:eastAsia="Calibri" w:hAnsi="Calibri" w:cs="Calibri"/>
          <w:color w:val="000000" w:themeColor="text1"/>
          <w:sz w:val="22"/>
          <w:szCs w:val="22"/>
        </w:rPr>
        <w:t>the</w:t>
      </w:r>
      <w:r w:rsidRPr="60F674C6">
        <w:rPr>
          <w:rFonts w:ascii="Calibri" w:eastAsia="Calibri" w:hAnsi="Calibri" w:cs="Calibri"/>
          <w:color w:val="000000" w:themeColor="text1"/>
          <w:sz w:val="22"/>
          <w:szCs w:val="22"/>
        </w:rPr>
        <w:t xml:space="preserve"> VISIT_OCCURRENCE table</w:t>
      </w:r>
      <w:r w:rsidR="004D5806">
        <w:rPr>
          <w:rFonts w:ascii="Calibri" w:eastAsia="Calibri" w:hAnsi="Calibri" w:cs="Calibri"/>
          <w:color w:val="000000" w:themeColor="text1"/>
          <w:sz w:val="22"/>
          <w:szCs w:val="22"/>
        </w:rPr>
        <w:t xml:space="preserve">.  </w:t>
      </w:r>
      <w:r w:rsidRPr="60F674C6">
        <w:rPr>
          <w:rFonts w:ascii="Calibri" w:eastAsia="Calibri" w:hAnsi="Calibri" w:cs="Calibri"/>
          <w:color w:val="000000" w:themeColor="text1"/>
          <w:sz w:val="22"/>
          <w:szCs w:val="22"/>
        </w:rPr>
        <w:t xml:space="preserve">Specifically, VISIT_CONCEPT_ID </w:t>
      </w:r>
      <w:r w:rsidR="001C7475">
        <w:rPr>
          <w:rFonts w:ascii="Calibri" w:eastAsia="Calibri" w:hAnsi="Calibri" w:cs="Calibri"/>
          <w:color w:val="000000" w:themeColor="text1"/>
          <w:sz w:val="22"/>
          <w:szCs w:val="22"/>
        </w:rPr>
        <w:t xml:space="preserve">identifies </w:t>
      </w:r>
      <w:r w:rsidR="001C7475" w:rsidRPr="60F674C6">
        <w:rPr>
          <w:rFonts w:ascii="Calibri" w:eastAsia="Calibri" w:hAnsi="Calibri" w:cs="Calibri"/>
          <w:color w:val="000000" w:themeColor="text1"/>
          <w:sz w:val="22"/>
          <w:szCs w:val="22"/>
        </w:rPr>
        <w:t>the</w:t>
      </w:r>
      <w:r w:rsidR="004D5806">
        <w:rPr>
          <w:rFonts w:ascii="Calibri" w:eastAsia="Calibri" w:hAnsi="Calibri" w:cs="Calibri"/>
          <w:color w:val="000000" w:themeColor="text1"/>
          <w:sz w:val="22"/>
          <w:szCs w:val="22"/>
        </w:rPr>
        <w:t xml:space="preserve"> </w:t>
      </w:r>
      <w:r w:rsidRPr="60F674C6">
        <w:rPr>
          <w:rFonts w:ascii="Calibri" w:eastAsia="Calibri" w:hAnsi="Calibri" w:cs="Calibri"/>
          <w:color w:val="000000" w:themeColor="text1"/>
          <w:sz w:val="22"/>
          <w:szCs w:val="22"/>
        </w:rPr>
        <w:t xml:space="preserve">sub-type </w:t>
      </w:r>
      <w:r w:rsidR="004D5806">
        <w:rPr>
          <w:rFonts w:ascii="Calibri" w:eastAsia="Calibri" w:hAnsi="Calibri" w:cs="Calibri"/>
          <w:color w:val="000000" w:themeColor="text1"/>
          <w:sz w:val="22"/>
          <w:szCs w:val="22"/>
        </w:rPr>
        <w:t>of visit</w:t>
      </w:r>
      <w:r w:rsidRPr="60F674C6">
        <w:rPr>
          <w:rFonts w:ascii="Calibri" w:eastAsia="Calibri" w:hAnsi="Calibri" w:cs="Calibri"/>
          <w:color w:val="000000" w:themeColor="text1"/>
          <w:sz w:val="22"/>
          <w:szCs w:val="22"/>
        </w:rPr>
        <w:t xml:space="preserve">. </w:t>
      </w:r>
    </w:p>
    <w:p w14:paraId="5CE60C14" w14:textId="77777777" w:rsidR="00F31386" w:rsidRDefault="00F87E36">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14:paraId="7F2144FC" w14:textId="5BA7E0AB" w:rsidR="005934B7" w:rsidRPr="000D4ACD" w:rsidRDefault="7420508D" w:rsidP="7420508D">
      <w:pPr>
        <w:pBdr>
          <w:top w:val="nil"/>
          <w:left w:val="nil"/>
          <w:bottom w:val="nil"/>
          <w:right w:val="nil"/>
          <w:between w:val="nil"/>
        </w:pBdr>
        <w:spacing w:after="120"/>
        <w:jc w:val="both"/>
        <w:rPr>
          <w:rFonts w:ascii="Calibri" w:eastAsia="Calibri" w:hAnsi="Calibri" w:cs="Calibri"/>
          <w:sz w:val="22"/>
          <w:szCs w:val="22"/>
        </w:rPr>
      </w:pPr>
      <w:r w:rsidRPr="7420508D">
        <w:rPr>
          <w:rFonts w:ascii="Calibri" w:eastAsia="Calibri" w:hAnsi="Calibri" w:cs="Calibri"/>
          <w:sz w:val="22"/>
          <w:szCs w:val="22"/>
        </w:rPr>
        <w:t xml:space="preserve">Using a list of 4,021 ICD-10 codes for 95 conditions </w:t>
      </w:r>
      <w:r w:rsidR="006E5A23">
        <w:rPr>
          <w:rFonts w:ascii="Calibri" w:eastAsia="Calibri" w:hAnsi="Calibri" w:cs="Calibri"/>
          <w:sz w:val="22"/>
          <w:szCs w:val="22"/>
        </w:rPr>
        <w:t>defined for use in</w:t>
      </w:r>
      <w:r w:rsidR="006E5A23" w:rsidRPr="7420508D">
        <w:rPr>
          <w:rFonts w:ascii="Calibri" w:eastAsia="Calibri" w:hAnsi="Calibri" w:cs="Calibri"/>
          <w:sz w:val="22"/>
          <w:szCs w:val="22"/>
        </w:rPr>
        <w:t xml:space="preserve"> </w:t>
      </w:r>
      <w:r w:rsidRPr="7420508D">
        <w:rPr>
          <w:rFonts w:ascii="Calibri" w:eastAsia="Calibri" w:hAnsi="Calibri" w:cs="Calibri"/>
          <w:sz w:val="22"/>
          <w:szCs w:val="22"/>
        </w:rPr>
        <w:t>the VA’s COVID-19 Shared Data Resource</w:t>
      </w:r>
      <w:r w:rsidR="006E5A23">
        <w:rPr>
          <w:rFonts w:ascii="Calibri" w:eastAsia="Calibri" w:hAnsi="Calibri" w:cs="Calibri"/>
          <w:sz w:val="22"/>
          <w:szCs w:val="22"/>
        </w:rPr>
        <w:t xml:space="preserve"> (CSDR)</w:t>
      </w:r>
      <w:r w:rsidRPr="7420508D">
        <w:rPr>
          <w:rFonts w:ascii="Calibri" w:eastAsia="Calibri" w:hAnsi="Calibri" w:cs="Calibri"/>
          <w:sz w:val="22"/>
          <w:szCs w:val="22"/>
        </w:rPr>
        <w:t>, outpatient and inpatient records for calendar year 2019 were gathered from CDW</w:t>
      </w:r>
      <w:r w:rsidR="006E5A23">
        <w:rPr>
          <w:rFonts w:ascii="Calibri" w:eastAsia="Calibri" w:hAnsi="Calibri" w:cs="Calibri"/>
          <w:sz w:val="22"/>
          <w:szCs w:val="22"/>
        </w:rPr>
        <w:t xml:space="preserve">.  These ICD-10 codes were selected as the CSDR already maps them to a specific condition and they are relatively common both in terms of number of patients and number of records.  This query resulted </w:t>
      </w:r>
      <w:r w:rsidRPr="7420508D">
        <w:rPr>
          <w:rFonts w:ascii="Calibri" w:eastAsia="Calibri" w:hAnsi="Calibri" w:cs="Calibri"/>
          <w:sz w:val="22"/>
          <w:szCs w:val="22"/>
        </w:rPr>
        <w:t xml:space="preserve">in 129,021,102 records for 5,106,915 patients. Each record was classified as outpatient or inpatient corresponding to the source table. For the OMOP-based approach, the same diagnosis records were classified as either outpatient or inpatient based on VISIT_CONCEPT_ID from the VISIT_OCCURRENCE table. See </w:t>
      </w:r>
      <w:r w:rsidR="001C7475">
        <w:rPr>
          <w:rFonts w:ascii="Calibri" w:eastAsia="Calibri" w:hAnsi="Calibri" w:cs="Calibri"/>
          <w:sz w:val="22"/>
          <w:szCs w:val="22"/>
        </w:rPr>
        <w:t>T</w:t>
      </w:r>
      <w:r w:rsidRPr="7420508D">
        <w:rPr>
          <w:rFonts w:ascii="Calibri" w:eastAsia="Calibri" w:hAnsi="Calibri" w:cs="Calibri"/>
          <w:sz w:val="22"/>
          <w:szCs w:val="22"/>
        </w:rPr>
        <w:t>able 1 for classification system. Using each approach, patients qualified as having the condition if they had 2 or more outpatient diagnoses on different dates or 1 or more inpatient diagnoses. Absolute and relative frequency of qualifying patients were compared between approaches.</w:t>
      </w:r>
    </w:p>
    <w:p w14:paraId="064795B1" w14:textId="77777777" w:rsidR="00F31386" w:rsidRDefault="00F87E36">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Results</w:t>
      </w:r>
    </w:p>
    <w:p w14:paraId="34E9C14B" w14:textId="08DD9009" w:rsidR="00DC715B" w:rsidRDefault="7420508D" w:rsidP="001319DE">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sidRPr="7420508D">
        <w:rPr>
          <w:rFonts w:ascii="Calibri" w:eastAsia="Calibri" w:hAnsi="Calibri" w:cs="Calibri"/>
          <w:color w:val="000000" w:themeColor="text1"/>
          <w:sz w:val="22"/>
          <w:szCs w:val="22"/>
        </w:rPr>
        <w:t>Frequency of qualifying patients varied per condition and by approach. The percent change from the source table-based approach to the OMOP-based approach ranged f</w:t>
      </w:r>
      <w:r w:rsidRPr="00D45300">
        <w:rPr>
          <w:rFonts w:ascii="Calibri" w:eastAsia="Calibri" w:hAnsi="Calibri" w:cs="Calibri"/>
          <w:color w:val="000000" w:themeColor="text1"/>
          <w:sz w:val="22"/>
          <w:szCs w:val="22"/>
        </w:rPr>
        <w:t>rom -2.44% (more patients from source table-based) to +105% (more patients from OMOP-based) with the median percent change being +1.35%. In other words, approximately 1.35%</w:t>
      </w:r>
      <w:r w:rsidRPr="7420508D">
        <w:rPr>
          <w:rFonts w:ascii="Calibri" w:eastAsia="Calibri" w:hAnsi="Calibri" w:cs="Calibri"/>
          <w:color w:val="000000" w:themeColor="text1"/>
          <w:sz w:val="22"/>
          <w:szCs w:val="22"/>
        </w:rPr>
        <w:t xml:space="preserve"> more patients qualified as having a condition during 2019 when using the OMOP-based approach as compared to the source table-based approach. </w:t>
      </w:r>
    </w:p>
    <w:p w14:paraId="288CBFED" w14:textId="17F41D81" w:rsidR="7420508D" w:rsidRPr="000D4ACD" w:rsidRDefault="60F674C6" w:rsidP="60F674C6">
      <w:pPr>
        <w:tabs>
          <w:tab w:val="left" w:pos="9360"/>
        </w:tabs>
        <w:spacing w:after="120"/>
        <w:jc w:val="both"/>
        <w:rPr>
          <w:rFonts w:ascii="Calibri" w:eastAsia="Calibri" w:hAnsi="Calibri" w:cs="Calibri"/>
          <w:b/>
          <w:bCs/>
          <w:color w:val="000000" w:themeColor="text1"/>
          <w:sz w:val="18"/>
          <w:szCs w:val="18"/>
        </w:rPr>
      </w:pPr>
      <w:r w:rsidRPr="60F674C6">
        <w:rPr>
          <w:rFonts w:ascii="Calibri" w:eastAsia="Calibri" w:hAnsi="Calibri" w:cs="Calibri"/>
          <w:color w:val="000000" w:themeColor="text1"/>
          <w:sz w:val="22"/>
          <w:szCs w:val="22"/>
        </w:rPr>
        <w:t xml:space="preserve">Patients who did not qualify using the source table-based approach but did qualify using the OMOP-based approach had outpatient workload records that were classified as Outpatient Visit Within Inpatient Visit in OMOP. Thus, a singular outpatient record which would not have qualified the patient under the source table-based approach did under the OMOP-based approach. For the reverse, patients who did qualify using the source table-based approach but did not qualify using the OMOP-based approach typically did </w:t>
      </w:r>
      <w:r w:rsidRPr="60F674C6">
        <w:rPr>
          <w:rFonts w:ascii="Calibri" w:eastAsia="Calibri" w:hAnsi="Calibri" w:cs="Calibri"/>
          <w:color w:val="000000" w:themeColor="text1"/>
          <w:sz w:val="22"/>
          <w:szCs w:val="22"/>
        </w:rPr>
        <w:lastRenderedPageBreak/>
        <w:t>not qualify because inpatient records were classified as Non-hospital Institution Visit in OMOP (outpatient). Thus, a singular inpatient record which would have qualified the patient under the source table-based approach no longer did under the OMOP-based approach. Similarly, but affecting less patients, inpatient records were classified as No matching concept in OMOP and excluded.</w:t>
      </w:r>
    </w:p>
    <w:p w14:paraId="4CADC299" w14:textId="6A1F2475" w:rsidR="7420508D" w:rsidRDefault="60F674C6" w:rsidP="60F674C6">
      <w:pPr>
        <w:tabs>
          <w:tab w:val="left" w:pos="9360"/>
        </w:tabs>
        <w:spacing w:after="120"/>
        <w:jc w:val="both"/>
        <w:rPr>
          <w:rFonts w:ascii="Calibri" w:eastAsia="Calibri" w:hAnsi="Calibri" w:cs="Calibri"/>
          <w:b/>
          <w:bCs/>
          <w:color w:val="000000" w:themeColor="text1"/>
          <w:sz w:val="18"/>
          <w:szCs w:val="18"/>
        </w:rPr>
      </w:pPr>
      <w:r w:rsidRPr="60F674C6">
        <w:rPr>
          <w:rFonts w:ascii="Calibri" w:eastAsia="Calibri" w:hAnsi="Calibri" w:cs="Calibri"/>
          <w:b/>
          <w:bCs/>
          <w:color w:val="000000" w:themeColor="text1"/>
          <w:sz w:val="22"/>
          <w:szCs w:val="22"/>
        </w:rPr>
        <w:t>Conclusion</w:t>
      </w:r>
    </w:p>
    <w:p w14:paraId="6A9101BA" w14:textId="37FB7401" w:rsidR="7420508D" w:rsidRDefault="1F106232" w:rsidP="7420508D">
      <w:pPr>
        <w:spacing w:after="120"/>
        <w:jc w:val="both"/>
        <w:rPr>
          <w:rFonts w:ascii="Calibri" w:eastAsia="Calibri" w:hAnsi="Calibri" w:cs="Calibri"/>
          <w:b/>
          <w:bCs/>
          <w:sz w:val="22"/>
          <w:szCs w:val="22"/>
        </w:rPr>
      </w:pPr>
      <w:r w:rsidRPr="1F106232">
        <w:rPr>
          <w:rFonts w:ascii="Calibri" w:eastAsia="Calibri" w:hAnsi="Calibri" w:cs="Calibri"/>
          <w:color w:val="000000" w:themeColor="text1"/>
          <w:sz w:val="22"/>
          <w:szCs w:val="22"/>
        </w:rPr>
        <w:t>Defining conditions by 2 or more outpatient diagnosis records or 1 or more inpatient diagnosis records requires a clear definition of clinical setting of record. For VA researchers, using the source table alone to differentiate between outpatient and inpatient diagnoses may not be sufficient. Utilizing VISIT_CONCEPT_ID from OMOP is a quick and easily way to sub-type and refine clinical records into outpatient vs. Inpatient categories. The change in patient counts may vary depending on the condition of interest with some having only minor changes and others having substantial decreases or increases.</w:t>
      </w:r>
    </w:p>
    <w:p w14:paraId="147BC340" w14:textId="1EFB9E06" w:rsidR="1F106232" w:rsidRDefault="1F106232" w:rsidP="1F106232">
      <w:pPr>
        <w:spacing w:after="120"/>
        <w:rPr>
          <w:rFonts w:ascii="Calibri" w:eastAsia="Calibri" w:hAnsi="Calibri" w:cs="Calibri"/>
          <w:b/>
          <w:bCs/>
          <w:color w:val="000000" w:themeColor="text1"/>
          <w:sz w:val="18"/>
          <w:szCs w:val="18"/>
        </w:rPr>
      </w:pPr>
    </w:p>
    <w:p w14:paraId="4307FFF0" w14:textId="7BF8B5B2" w:rsidR="00546E6D" w:rsidRDefault="60F674C6" w:rsidP="60F674C6">
      <w:pPr>
        <w:pBdr>
          <w:top w:val="nil"/>
          <w:left w:val="nil"/>
          <w:bottom w:val="nil"/>
          <w:right w:val="nil"/>
          <w:between w:val="nil"/>
        </w:pBdr>
        <w:spacing w:after="120"/>
        <w:rPr>
          <w:rFonts w:ascii="Calibri" w:eastAsia="Calibri" w:hAnsi="Calibri" w:cs="Calibri"/>
          <w:color w:val="000000"/>
          <w:sz w:val="22"/>
          <w:szCs w:val="22"/>
        </w:rPr>
      </w:pPr>
      <w:r w:rsidRPr="60F674C6">
        <w:rPr>
          <w:rFonts w:ascii="Calibri" w:eastAsia="Calibri" w:hAnsi="Calibri" w:cs="Calibri"/>
          <w:b/>
          <w:bCs/>
          <w:color w:val="000000" w:themeColor="text1"/>
          <w:sz w:val="22"/>
          <w:szCs w:val="22"/>
        </w:rPr>
        <w:t xml:space="preserve">Table 1. </w:t>
      </w:r>
      <w:r w:rsidRPr="60F674C6">
        <w:rPr>
          <w:rFonts w:ascii="Calibri" w:eastAsia="Calibri" w:hAnsi="Calibri" w:cs="Calibri"/>
          <w:color w:val="000000" w:themeColor="text1"/>
          <w:sz w:val="22"/>
          <w:szCs w:val="22"/>
        </w:rPr>
        <w:t>Categorization of VISIT_CONCEPT_ID into Outpatient or Inpatient</w:t>
      </w:r>
    </w:p>
    <w:tbl>
      <w:tblPr>
        <w:tblStyle w:val="TableGrid"/>
        <w:tblW w:w="9537" w:type="dxa"/>
        <w:tblInd w:w="-5" w:type="dxa"/>
        <w:tblLook w:val="04A0" w:firstRow="1" w:lastRow="0" w:firstColumn="1" w:lastColumn="0" w:noHBand="0" w:noVBand="1"/>
      </w:tblPr>
      <w:tblGrid>
        <w:gridCol w:w="1650"/>
        <w:gridCol w:w="2895"/>
        <w:gridCol w:w="1785"/>
        <w:gridCol w:w="1320"/>
        <w:gridCol w:w="1887"/>
      </w:tblGrid>
      <w:tr w:rsidR="000D0B44" w14:paraId="1752BA06" w14:textId="77777777" w:rsidTr="000D4ACD">
        <w:tc>
          <w:tcPr>
            <w:tcW w:w="1650" w:type="dxa"/>
            <w:shd w:val="clear" w:color="auto" w:fill="F79646" w:themeFill="accent6"/>
          </w:tcPr>
          <w:p w14:paraId="02BF1822"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VISIT_CONCEPT_ID</w:t>
            </w:r>
          </w:p>
        </w:tc>
        <w:tc>
          <w:tcPr>
            <w:tcW w:w="2895" w:type="dxa"/>
            <w:shd w:val="clear" w:color="auto" w:fill="F79646" w:themeFill="accent6"/>
          </w:tcPr>
          <w:p w14:paraId="780D8E2A" w14:textId="77777777" w:rsidR="000D0B44" w:rsidRPr="00546E6D" w:rsidRDefault="000D0B44" w:rsidP="00CB7879">
            <w:pPr>
              <w:rPr>
                <w:rFonts w:ascii="Calibri" w:eastAsia="Calibri" w:hAnsi="Calibri" w:cs="Calibri"/>
                <w:color w:val="000000"/>
                <w:sz w:val="16"/>
                <w:szCs w:val="16"/>
              </w:rPr>
            </w:pPr>
            <w:r w:rsidRPr="00546E6D" w:rsidDel="001F5515">
              <w:rPr>
                <w:rFonts w:ascii="Calibri" w:eastAsia="Calibri" w:hAnsi="Calibri" w:cs="Calibri"/>
                <w:color w:val="000000"/>
                <w:sz w:val="16"/>
                <w:szCs w:val="16"/>
              </w:rPr>
              <w:t>VISIT_</w:t>
            </w:r>
            <w:r w:rsidRPr="00546E6D">
              <w:rPr>
                <w:rFonts w:ascii="Calibri" w:eastAsia="Calibri" w:hAnsi="Calibri" w:cs="Calibri"/>
                <w:color w:val="000000"/>
                <w:sz w:val="16"/>
                <w:szCs w:val="16"/>
              </w:rPr>
              <w:t>CONCEPT</w:t>
            </w:r>
            <w:r>
              <w:rPr>
                <w:rFonts w:ascii="Calibri" w:eastAsia="Calibri" w:hAnsi="Calibri" w:cs="Calibri"/>
                <w:color w:val="000000"/>
                <w:sz w:val="16"/>
                <w:szCs w:val="16"/>
              </w:rPr>
              <w:t>_NAME</w:t>
            </w:r>
          </w:p>
        </w:tc>
        <w:tc>
          <w:tcPr>
            <w:tcW w:w="1785" w:type="dxa"/>
            <w:shd w:val="clear" w:color="auto" w:fill="F79646" w:themeFill="accent6"/>
          </w:tcPr>
          <w:p w14:paraId="3B13DBD8"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STANDARD_CONCEPT</w:t>
            </w:r>
          </w:p>
        </w:tc>
        <w:tc>
          <w:tcPr>
            <w:tcW w:w="1320" w:type="dxa"/>
            <w:shd w:val="clear" w:color="auto" w:fill="F79646" w:themeFill="accent6"/>
          </w:tcPr>
          <w:p w14:paraId="03E5BE52"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Instances</w:t>
            </w:r>
          </w:p>
        </w:tc>
        <w:tc>
          <w:tcPr>
            <w:tcW w:w="1887" w:type="dxa"/>
            <w:shd w:val="clear" w:color="auto" w:fill="F79646" w:themeFill="accent6"/>
          </w:tcPr>
          <w:p w14:paraId="1FC302E4" w14:textId="77777777" w:rsidR="000D0B44" w:rsidRPr="00546E6D" w:rsidRDefault="000D0B44"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Categorization</w:t>
            </w:r>
          </w:p>
        </w:tc>
      </w:tr>
      <w:tr w:rsidR="000D0B44" w14:paraId="31A30D5F" w14:textId="77777777" w:rsidTr="000D4ACD">
        <w:tc>
          <w:tcPr>
            <w:tcW w:w="1650" w:type="dxa"/>
          </w:tcPr>
          <w:p w14:paraId="5BB73FCF"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9202</w:t>
            </w:r>
          </w:p>
        </w:tc>
        <w:tc>
          <w:tcPr>
            <w:tcW w:w="2895" w:type="dxa"/>
          </w:tcPr>
          <w:p w14:paraId="2017DAEB" w14:textId="2438197A" w:rsidR="000D0B44" w:rsidRPr="00546E6D" w:rsidRDefault="0056095F"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Outpatient Visit</w:t>
            </w:r>
          </w:p>
        </w:tc>
        <w:tc>
          <w:tcPr>
            <w:tcW w:w="1785" w:type="dxa"/>
          </w:tcPr>
          <w:p w14:paraId="4E36205E"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S</w:t>
            </w:r>
          </w:p>
        </w:tc>
        <w:tc>
          <w:tcPr>
            <w:tcW w:w="1320" w:type="dxa"/>
          </w:tcPr>
          <w:p w14:paraId="0D849C6E" w14:textId="0B1CA0C7" w:rsidR="000D0B44" w:rsidRPr="00546E6D" w:rsidRDefault="00AE3E4D" w:rsidP="00CB7879">
            <w:pPr>
              <w:rPr>
                <w:rFonts w:ascii="Calibri" w:eastAsia="Calibri" w:hAnsi="Calibri" w:cs="Calibri"/>
                <w:color w:val="000000"/>
                <w:sz w:val="16"/>
                <w:szCs w:val="16"/>
              </w:rPr>
            </w:pPr>
            <w:r>
              <w:rPr>
                <w:rFonts w:ascii="Calibri" w:eastAsia="Calibri" w:hAnsi="Calibri" w:cs="Calibri"/>
                <w:color w:val="000000"/>
                <w:sz w:val="16"/>
                <w:szCs w:val="16"/>
              </w:rPr>
              <w:t>105,906,651</w:t>
            </w:r>
          </w:p>
        </w:tc>
        <w:tc>
          <w:tcPr>
            <w:tcW w:w="1887" w:type="dxa"/>
          </w:tcPr>
          <w:p w14:paraId="3371D91D" w14:textId="77777777" w:rsidR="000D0B44" w:rsidRPr="00546E6D" w:rsidRDefault="000D0B44"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Outpatient</w:t>
            </w:r>
          </w:p>
        </w:tc>
      </w:tr>
      <w:tr w:rsidR="000D0B44" w14:paraId="498B4559" w14:textId="77777777" w:rsidTr="000D4ACD">
        <w:tc>
          <w:tcPr>
            <w:tcW w:w="1650" w:type="dxa"/>
          </w:tcPr>
          <w:p w14:paraId="5744B533"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9203</w:t>
            </w:r>
          </w:p>
        </w:tc>
        <w:tc>
          <w:tcPr>
            <w:tcW w:w="2895" w:type="dxa"/>
          </w:tcPr>
          <w:p w14:paraId="01E84E82" w14:textId="33FA4DDA" w:rsidR="000D0B44" w:rsidRPr="00546E6D" w:rsidRDefault="0056095F"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Emergency Room Visit</w:t>
            </w:r>
          </w:p>
        </w:tc>
        <w:tc>
          <w:tcPr>
            <w:tcW w:w="1785" w:type="dxa"/>
          </w:tcPr>
          <w:p w14:paraId="481870B2"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S</w:t>
            </w:r>
          </w:p>
        </w:tc>
        <w:tc>
          <w:tcPr>
            <w:tcW w:w="1320" w:type="dxa"/>
          </w:tcPr>
          <w:p w14:paraId="6CA84198" w14:textId="6450ADA2" w:rsidR="000D0B44" w:rsidRPr="00546E6D" w:rsidRDefault="00AE3E4D" w:rsidP="00CB7879">
            <w:pPr>
              <w:rPr>
                <w:rFonts w:ascii="Calibri" w:eastAsia="Calibri" w:hAnsi="Calibri" w:cs="Calibri"/>
                <w:color w:val="000000"/>
                <w:sz w:val="16"/>
                <w:szCs w:val="16"/>
              </w:rPr>
            </w:pPr>
            <w:r>
              <w:rPr>
                <w:rFonts w:ascii="Calibri" w:eastAsia="Calibri" w:hAnsi="Calibri" w:cs="Calibri"/>
                <w:color w:val="000000"/>
                <w:sz w:val="16"/>
                <w:szCs w:val="16"/>
              </w:rPr>
              <w:t>1,452,533</w:t>
            </w:r>
          </w:p>
        </w:tc>
        <w:tc>
          <w:tcPr>
            <w:tcW w:w="1887" w:type="dxa"/>
          </w:tcPr>
          <w:p w14:paraId="0DE94867" w14:textId="77777777" w:rsidR="000D0B44" w:rsidRPr="00546E6D" w:rsidRDefault="000D0B44"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Outpatient</w:t>
            </w:r>
          </w:p>
        </w:tc>
      </w:tr>
      <w:tr w:rsidR="000D0B44" w14:paraId="5B8D2D61" w14:textId="77777777" w:rsidTr="000D4ACD">
        <w:tc>
          <w:tcPr>
            <w:tcW w:w="1650" w:type="dxa"/>
          </w:tcPr>
          <w:p w14:paraId="7EF04E6E"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42898160</w:t>
            </w:r>
          </w:p>
        </w:tc>
        <w:tc>
          <w:tcPr>
            <w:tcW w:w="2895" w:type="dxa"/>
          </w:tcPr>
          <w:p w14:paraId="63FDCFC4" w14:textId="3FCA02D9" w:rsidR="000D0B44" w:rsidRPr="000D4ACD" w:rsidRDefault="0056095F"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Non-Hospital Institution Visit</w:t>
            </w:r>
          </w:p>
        </w:tc>
        <w:tc>
          <w:tcPr>
            <w:tcW w:w="1785" w:type="dxa"/>
          </w:tcPr>
          <w:p w14:paraId="1B186B25"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S</w:t>
            </w:r>
          </w:p>
        </w:tc>
        <w:tc>
          <w:tcPr>
            <w:tcW w:w="1320" w:type="dxa"/>
          </w:tcPr>
          <w:p w14:paraId="12D33539" w14:textId="58DC9DC7" w:rsidR="000D0B44" w:rsidRPr="000D4ACD" w:rsidRDefault="00AE3E4D"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755,834</w:t>
            </w:r>
          </w:p>
        </w:tc>
        <w:tc>
          <w:tcPr>
            <w:tcW w:w="1887" w:type="dxa"/>
          </w:tcPr>
          <w:p w14:paraId="4BAD89D2"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Outpatient</w:t>
            </w:r>
          </w:p>
        </w:tc>
      </w:tr>
      <w:tr w:rsidR="000D0B44" w14:paraId="5A9D0857" w14:textId="77777777" w:rsidTr="000D4ACD">
        <w:tc>
          <w:tcPr>
            <w:tcW w:w="1650" w:type="dxa"/>
          </w:tcPr>
          <w:p w14:paraId="5212D840"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800000002</w:t>
            </w:r>
          </w:p>
        </w:tc>
        <w:tc>
          <w:tcPr>
            <w:tcW w:w="2895" w:type="dxa"/>
          </w:tcPr>
          <w:p w14:paraId="37FEEC50" w14:textId="0BDF3DAC" w:rsidR="000D0B44" w:rsidRPr="00546E6D" w:rsidRDefault="0056095F"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Outpatient Visit Within Inpatient Visit</w:t>
            </w:r>
          </w:p>
        </w:tc>
        <w:tc>
          <w:tcPr>
            <w:tcW w:w="1785" w:type="dxa"/>
          </w:tcPr>
          <w:p w14:paraId="49BC8377"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S</w:t>
            </w:r>
          </w:p>
        </w:tc>
        <w:tc>
          <w:tcPr>
            <w:tcW w:w="1320" w:type="dxa"/>
          </w:tcPr>
          <w:p w14:paraId="600C543B" w14:textId="06221AAA" w:rsidR="000D0B44" w:rsidRPr="00546E6D" w:rsidRDefault="00AE3E4D" w:rsidP="00CB7879">
            <w:pPr>
              <w:rPr>
                <w:rFonts w:ascii="Calibri" w:eastAsia="Calibri" w:hAnsi="Calibri" w:cs="Calibri"/>
                <w:color w:val="000000"/>
                <w:sz w:val="16"/>
                <w:szCs w:val="16"/>
              </w:rPr>
            </w:pPr>
            <w:r>
              <w:rPr>
                <w:rFonts w:ascii="Calibri" w:eastAsia="Calibri" w:hAnsi="Calibri" w:cs="Calibri"/>
                <w:color w:val="000000"/>
                <w:sz w:val="16"/>
                <w:szCs w:val="16"/>
              </w:rPr>
              <w:t>14,072,151</w:t>
            </w:r>
          </w:p>
        </w:tc>
        <w:tc>
          <w:tcPr>
            <w:tcW w:w="1887" w:type="dxa"/>
          </w:tcPr>
          <w:p w14:paraId="540839C4" w14:textId="77777777" w:rsidR="000D0B44" w:rsidRPr="00546E6D" w:rsidRDefault="000D0B44"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Inpatient</w:t>
            </w:r>
          </w:p>
        </w:tc>
      </w:tr>
      <w:tr w:rsidR="000D0B44" w14:paraId="37BF6D47" w14:textId="77777777" w:rsidTr="000D4ACD">
        <w:tc>
          <w:tcPr>
            <w:tcW w:w="1650" w:type="dxa"/>
          </w:tcPr>
          <w:p w14:paraId="5555E046"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9201</w:t>
            </w:r>
          </w:p>
        </w:tc>
        <w:tc>
          <w:tcPr>
            <w:tcW w:w="2895" w:type="dxa"/>
          </w:tcPr>
          <w:p w14:paraId="5A89C222" w14:textId="26E6EC28" w:rsidR="000D0B44" w:rsidRPr="00546E6D" w:rsidRDefault="0056095F"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Inpatient Visit</w:t>
            </w:r>
          </w:p>
        </w:tc>
        <w:tc>
          <w:tcPr>
            <w:tcW w:w="1785" w:type="dxa"/>
          </w:tcPr>
          <w:p w14:paraId="71E970FC"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S</w:t>
            </w:r>
          </w:p>
        </w:tc>
        <w:tc>
          <w:tcPr>
            <w:tcW w:w="1320" w:type="dxa"/>
          </w:tcPr>
          <w:p w14:paraId="23A05D33" w14:textId="65659411" w:rsidR="000D0B44" w:rsidRPr="00546E6D" w:rsidRDefault="00AE3E4D" w:rsidP="00CB7879">
            <w:pPr>
              <w:rPr>
                <w:rFonts w:ascii="Calibri" w:eastAsia="Calibri" w:hAnsi="Calibri" w:cs="Calibri"/>
                <w:color w:val="000000"/>
                <w:sz w:val="16"/>
                <w:szCs w:val="16"/>
              </w:rPr>
            </w:pPr>
            <w:r>
              <w:rPr>
                <w:rFonts w:ascii="Calibri" w:eastAsia="Calibri" w:hAnsi="Calibri" w:cs="Calibri"/>
                <w:color w:val="000000"/>
                <w:sz w:val="16"/>
                <w:szCs w:val="16"/>
              </w:rPr>
              <w:t>5,483,053</w:t>
            </w:r>
          </w:p>
        </w:tc>
        <w:tc>
          <w:tcPr>
            <w:tcW w:w="1887" w:type="dxa"/>
          </w:tcPr>
          <w:p w14:paraId="5A24257F" w14:textId="77777777" w:rsidR="000D0B44" w:rsidRPr="00546E6D" w:rsidRDefault="000D0B44"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Inpatient</w:t>
            </w:r>
          </w:p>
        </w:tc>
      </w:tr>
      <w:tr w:rsidR="000D0B44" w14:paraId="2642B8E1" w14:textId="77777777" w:rsidTr="000D4ACD">
        <w:tc>
          <w:tcPr>
            <w:tcW w:w="1650" w:type="dxa"/>
          </w:tcPr>
          <w:p w14:paraId="45D00519"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800000001</w:t>
            </w:r>
          </w:p>
        </w:tc>
        <w:tc>
          <w:tcPr>
            <w:tcW w:w="2895" w:type="dxa"/>
          </w:tcPr>
          <w:p w14:paraId="586074C9" w14:textId="34D5B4F0" w:rsidR="000D0B44" w:rsidRPr="00546E6D" w:rsidRDefault="0056095F"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Inpatient Observation Visit</w:t>
            </w:r>
          </w:p>
        </w:tc>
        <w:tc>
          <w:tcPr>
            <w:tcW w:w="1785" w:type="dxa"/>
          </w:tcPr>
          <w:p w14:paraId="076D21A8"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S</w:t>
            </w:r>
          </w:p>
        </w:tc>
        <w:tc>
          <w:tcPr>
            <w:tcW w:w="1320" w:type="dxa"/>
          </w:tcPr>
          <w:p w14:paraId="00B0ED52" w14:textId="04EE45BE" w:rsidR="000D0B44" w:rsidRPr="00546E6D" w:rsidRDefault="000A1028" w:rsidP="00CB7879">
            <w:pPr>
              <w:rPr>
                <w:rFonts w:ascii="Calibri" w:eastAsia="Calibri" w:hAnsi="Calibri" w:cs="Calibri"/>
                <w:color w:val="000000"/>
                <w:sz w:val="16"/>
                <w:szCs w:val="16"/>
              </w:rPr>
            </w:pPr>
            <w:r>
              <w:rPr>
                <w:rFonts w:ascii="Calibri" w:eastAsia="Calibri" w:hAnsi="Calibri" w:cs="Calibri"/>
                <w:color w:val="000000"/>
                <w:sz w:val="16"/>
                <w:szCs w:val="16"/>
              </w:rPr>
              <w:t>1,324,659</w:t>
            </w:r>
          </w:p>
        </w:tc>
        <w:tc>
          <w:tcPr>
            <w:tcW w:w="1887" w:type="dxa"/>
          </w:tcPr>
          <w:p w14:paraId="1E8D1A9D" w14:textId="77777777" w:rsidR="000D0B44" w:rsidRPr="00546E6D" w:rsidRDefault="000D0B44" w:rsidP="00CB7879">
            <w:pPr>
              <w:rPr>
                <w:rFonts w:ascii="Calibri" w:eastAsia="Calibri" w:hAnsi="Calibri" w:cs="Calibri"/>
                <w:color w:val="000000"/>
                <w:sz w:val="16"/>
                <w:szCs w:val="16"/>
              </w:rPr>
            </w:pPr>
            <w:r w:rsidRPr="00546E6D">
              <w:rPr>
                <w:rFonts w:ascii="Calibri" w:eastAsia="Calibri" w:hAnsi="Calibri" w:cs="Calibri"/>
                <w:color w:val="000000"/>
                <w:sz w:val="16"/>
                <w:szCs w:val="16"/>
              </w:rPr>
              <w:t>Inpatient</w:t>
            </w:r>
          </w:p>
        </w:tc>
      </w:tr>
      <w:tr w:rsidR="000D0B44" w14:paraId="7126F457" w14:textId="77777777" w:rsidTr="000D4ACD">
        <w:tc>
          <w:tcPr>
            <w:tcW w:w="1650" w:type="dxa"/>
          </w:tcPr>
          <w:p w14:paraId="68BB456C"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0</w:t>
            </w:r>
          </w:p>
        </w:tc>
        <w:tc>
          <w:tcPr>
            <w:tcW w:w="2895" w:type="dxa"/>
          </w:tcPr>
          <w:p w14:paraId="736332D6" w14:textId="77777777" w:rsidR="000D0B44" w:rsidRPr="00546E6D" w:rsidDel="00F22631"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No matching concept</w:t>
            </w:r>
          </w:p>
        </w:tc>
        <w:tc>
          <w:tcPr>
            <w:tcW w:w="1785" w:type="dxa"/>
          </w:tcPr>
          <w:p w14:paraId="3FA221CB" w14:textId="77777777" w:rsidR="000D0B44" w:rsidRPr="00546E6D" w:rsidRDefault="000D0B44" w:rsidP="00CB7879">
            <w:pPr>
              <w:rPr>
                <w:rFonts w:ascii="Calibri" w:eastAsia="Calibri" w:hAnsi="Calibri" w:cs="Calibri"/>
                <w:color w:val="000000"/>
                <w:sz w:val="16"/>
                <w:szCs w:val="16"/>
              </w:rPr>
            </w:pPr>
          </w:p>
        </w:tc>
        <w:tc>
          <w:tcPr>
            <w:tcW w:w="1320" w:type="dxa"/>
          </w:tcPr>
          <w:p w14:paraId="49F751DF" w14:textId="43F63D46" w:rsidR="000D0B44" w:rsidRDefault="000A1028" w:rsidP="00CB7879">
            <w:pPr>
              <w:rPr>
                <w:rFonts w:ascii="Calibri" w:eastAsia="Calibri" w:hAnsi="Calibri" w:cs="Calibri"/>
                <w:color w:val="000000"/>
                <w:sz w:val="16"/>
                <w:szCs w:val="16"/>
              </w:rPr>
            </w:pPr>
            <w:r>
              <w:rPr>
                <w:rFonts w:ascii="Calibri" w:eastAsia="Calibri" w:hAnsi="Calibri" w:cs="Calibri"/>
                <w:color w:val="000000"/>
                <w:sz w:val="16"/>
                <w:szCs w:val="16"/>
              </w:rPr>
              <w:t>26,219</w:t>
            </w:r>
          </w:p>
        </w:tc>
        <w:tc>
          <w:tcPr>
            <w:tcW w:w="1887" w:type="dxa"/>
          </w:tcPr>
          <w:p w14:paraId="300CABC8" w14:textId="77777777" w:rsidR="000D0B44" w:rsidRPr="00546E6D" w:rsidDel="00F22631"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Excluded</w:t>
            </w:r>
          </w:p>
        </w:tc>
      </w:tr>
      <w:tr w:rsidR="000D0B44" w14:paraId="3E7CED8F" w14:textId="77777777" w:rsidTr="000D4ACD">
        <w:tc>
          <w:tcPr>
            <w:tcW w:w="1650" w:type="dxa"/>
          </w:tcPr>
          <w:p w14:paraId="7E78A1E4"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800000003</w:t>
            </w:r>
          </w:p>
        </w:tc>
        <w:tc>
          <w:tcPr>
            <w:tcW w:w="2895" w:type="dxa"/>
          </w:tcPr>
          <w:p w14:paraId="74E7A46E" w14:textId="77777777" w:rsidR="000D0B44" w:rsidRPr="000D4ACD" w:rsidDel="00F22631"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Outpatient Visit - Cancelled</w:t>
            </w:r>
          </w:p>
        </w:tc>
        <w:tc>
          <w:tcPr>
            <w:tcW w:w="1785" w:type="dxa"/>
          </w:tcPr>
          <w:p w14:paraId="759C12DC"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S</w:t>
            </w:r>
          </w:p>
        </w:tc>
        <w:tc>
          <w:tcPr>
            <w:tcW w:w="1320" w:type="dxa"/>
          </w:tcPr>
          <w:p w14:paraId="7F8C6858" w14:textId="5E3E8203" w:rsidR="000D0B44" w:rsidRPr="000D4ACD" w:rsidRDefault="00AE3E4D"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0</w:t>
            </w:r>
          </w:p>
        </w:tc>
        <w:tc>
          <w:tcPr>
            <w:tcW w:w="1887" w:type="dxa"/>
          </w:tcPr>
          <w:p w14:paraId="488C03DC" w14:textId="77777777" w:rsidR="000D0B44" w:rsidRPr="000D4ACD" w:rsidDel="00F22631"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Excluded</w:t>
            </w:r>
          </w:p>
        </w:tc>
      </w:tr>
      <w:tr w:rsidR="000D0B44" w14:paraId="59A61D0B" w14:textId="77777777" w:rsidTr="000D4ACD">
        <w:tc>
          <w:tcPr>
            <w:tcW w:w="1650" w:type="dxa"/>
          </w:tcPr>
          <w:p w14:paraId="59B24A3C"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800000004</w:t>
            </w:r>
          </w:p>
        </w:tc>
        <w:tc>
          <w:tcPr>
            <w:tcW w:w="2895" w:type="dxa"/>
          </w:tcPr>
          <w:p w14:paraId="27D6BDFC" w14:textId="77777777" w:rsidR="000D0B44" w:rsidRPr="00546E6D" w:rsidDel="00F22631"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Outpatient Visit – No Show</w:t>
            </w:r>
          </w:p>
        </w:tc>
        <w:tc>
          <w:tcPr>
            <w:tcW w:w="1785" w:type="dxa"/>
          </w:tcPr>
          <w:p w14:paraId="74432C62" w14:textId="77777777" w:rsidR="000D0B44" w:rsidRPr="00546E6D"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S</w:t>
            </w:r>
          </w:p>
        </w:tc>
        <w:tc>
          <w:tcPr>
            <w:tcW w:w="1320" w:type="dxa"/>
          </w:tcPr>
          <w:p w14:paraId="500AA283" w14:textId="55B2C259" w:rsidR="000D0B44" w:rsidRDefault="7420508D" w:rsidP="00CB7879">
            <w:pPr>
              <w:rPr>
                <w:rFonts w:ascii="Calibri" w:eastAsia="Calibri" w:hAnsi="Calibri" w:cs="Calibri"/>
                <w:color w:val="000000"/>
                <w:sz w:val="16"/>
                <w:szCs w:val="16"/>
              </w:rPr>
            </w:pPr>
            <w:r w:rsidRPr="7420508D">
              <w:rPr>
                <w:rFonts w:ascii="Calibri" w:eastAsia="Calibri" w:hAnsi="Calibri" w:cs="Calibri"/>
                <w:color w:val="000000" w:themeColor="text1"/>
                <w:sz w:val="16"/>
                <w:szCs w:val="16"/>
              </w:rPr>
              <w:t>&lt;11</w:t>
            </w:r>
          </w:p>
        </w:tc>
        <w:tc>
          <w:tcPr>
            <w:tcW w:w="1887" w:type="dxa"/>
          </w:tcPr>
          <w:p w14:paraId="43095F9F" w14:textId="77777777" w:rsidR="000D0B44" w:rsidRPr="00546E6D" w:rsidDel="00F22631" w:rsidRDefault="000D0B44" w:rsidP="00CB7879">
            <w:pPr>
              <w:rPr>
                <w:rFonts w:ascii="Calibri" w:eastAsia="Calibri" w:hAnsi="Calibri" w:cs="Calibri"/>
                <w:color w:val="000000"/>
                <w:sz w:val="16"/>
                <w:szCs w:val="16"/>
              </w:rPr>
            </w:pPr>
            <w:r>
              <w:rPr>
                <w:rFonts w:ascii="Calibri" w:eastAsia="Calibri" w:hAnsi="Calibri" w:cs="Calibri"/>
                <w:color w:val="000000"/>
                <w:sz w:val="16"/>
                <w:szCs w:val="16"/>
              </w:rPr>
              <w:t>Excluded</w:t>
            </w:r>
          </w:p>
        </w:tc>
      </w:tr>
      <w:tr w:rsidR="000D0B44" w14:paraId="7064FEF8" w14:textId="77777777" w:rsidTr="000D4ACD">
        <w:tc>
          <w:tcPr>
            <w:tcW w:w="1650" w:type="dxa"/>
          </w:tcPr>
          <w:p w14:paraId="54B5175F"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820000085</w:t>
            </w:r>
          </w:p>
        </w:tc>
        <w:tc>
          <w:tcPr>
            <w:tcW w:w="2895" w:type="dxa"/>
          </w:tcPr>
          <w:p w14:paraId="424E7253"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Audiology</w:t>
            </w:r>
          </w:p>
        </w:tc>
        <w:tc>
          <w:tcPr>
            <w:tcW w:w="1785" w:type="dxa"/>
          </w:tcPr>
          <w:p w14:paraId="5684B9AF"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S</w:t>
            </w:r>
          </w:p>
        </w:tc>
        <w:tc>
          <w:tcPr>
            <w:tcW w:w="1320" w:type="dxa"/>
          </w:tcPr>
          <w:p w14:paraId="3CD45F1E" w14:textId="3F8B933B" w:rsidR="000D0B44" w:rsidRPr="000D4ACD" w:rsidRDefault="000A1028"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0</w:t>
            </w:r>
          </w:p>
        </w:tc>
        <w:tc>
          <w:tcPr>
            <w:tcW w:w="1887" w:type="dxa"/>
          </w:tcPr>
          <w:p w14:paraId="3A51D4FF" w14:textId="77777777" w:rsidR="000D0B44" w:rsidRPr="000D4ACD" w:rsidRDefault="000D0B44" w:rsidP="00CB7879">
            <w:pPr>
              <w:rPr>
                <w:rFonts w:ascii="Calibri" w:eastAsia="Calibri" w:hAnsi="Calibri" w:cs="Calibri"/>
                <w:color w:val="000000"/>
                <w:sz w:val="16"/>
                <w:szCs w:val="16"/>
              </w:rPr>
            </w:pPr>
            <w:r w:rsidRPr="000D4ACD">
              <w:rPr>
                <w:rFonts w:ascii="Calibri" w:eastAsia="Calibri" w:hAnsi="Calibri" w:cs="Calibri"/>
                <w:color w:val="000000"/>
                <w:sz w:val="16"/>
                <w:szCs w:val="16"/>
              </w:rPr>
              <w:t>Excluded</w:t>
            </w:r>
          </w:p>
        </w:tc>
      </w:tr>
    </w:tbl>
    <w:p w14:paraId="516447A6" w14:textId="7565458D" w:rsidR="00546E6D" w:rsidRDefault="00546E6D">
      <w:pPr>
        <w:rPr>
          <w:rFonts w:ascii="Calibri" w:eastAsia="Calibri" w:hAnsi="Calibri" w:cs="Calibri"/>
          <w:b/>
          <w:color w:val="000000"/>
          <w:sz w:val="18"/>
          <w:szCs w:val="18"/>
        </w:rPr>
      </w:pPr>
    </w:p>
    <w:p w14:paraId="5729270E" w14:textId="2447257C" w:rsidR="1F106232" w:rsidRDefault="1F106232"/>
    <w:tbl>
      <w:tblPr>
        <w:tblStyle w:val="PlainTable4"/>
        <w:tblW w:w="0" w:type="auto"/>
        <w:tblLayout w:type="fixed"/>
        <w:tblLook w:val="06A0" w:firstRow="1" w:lastRow="0" w:firstColumn="1" w:lastColumn="0" w:noHBand="1" w:noVBand="1"/>
      </w:tblPr>
      <w:tblGrid>
        <w:gridCol w:w="4746"/>
        <w:gridCol w:w="4746"/>
      </w:tblGrid>
      <w:tr w:rsidR="54FF5FB7" w14:paraId="436EE863" w14:textId="77777777" w:rsidTr="60F674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46" w:type="dxa"/>
          </w:tcPr>
          <w:p w14:paraId="209FB9D5" w14:textId="3C0B0A5D" w:rsidR="54FF5FB7" w:rsidRDefault="54FF5FB7" w:rsidP="54FF5FB7">
            <w:pPr>
              <w:spacing w:after="120"/>
              <w:rPr>
                <w:rFonts w:ascii="Calibri" w:eastAsia="Calibri" w:hAnsi="Calibri" w:cs="Calibri"/>
                <w:sz w:val="22"/>
                <w:szCs w:val="22"/>
              </w:rPr>
            </w:pPr>
            <w:r w:rsidRPr="54FF5FB7">
              <w:rPr>
                <w:rFonts w:ascii="Calibri" w:eastAsia="Calibri" w:hAnsi="Calibri" w:cs="Calibri"/>
                <w:sz w:val="22"/>
                <w:szCs w:val="22"/>
              </w:rPr>
              <w:t xml:space="preserve">Figure 1. </w:t>
            </w:r>
            <w:r w:rsidRPr="54FF5FB7">
              <w:rPr>
                <w:rFonts w:ascii="Calibri" w:eastAsia="Calibri" w:hAnsi="Calibri" w:cs="Calibri"/>
                <w:b w:val="0"/>
                <w:bCs w:val="0"/>
                <w:sz w:val="22"/>
                <w:szCs w:val="22"/>
              </w:rPr>
              <w:t>Top 5 Conditions with more patients identified by OMOP-based approach</w:t>
            </w:r>
          </w:p>
        </w:tc>
        <w:tc>
          <w:tcPr>
            <w:tcW w:w="4746" w:type="dxa"/>
          </w:tcPr>
          <w:p w14:paraId="57AFAD9A" w14:textId="5899898F" w:rsidR="54FF5FB7" w:rsidRDefault="54FF5FB7" w:rsidP="54FF5FB7">
            <w:pPr>
              <w:spacing w:after="120"/>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bCs w:val="0"/>
                <w:sz w:val="22"/>
                <w:szCs w:val="22"/>
              </w:rPr>
            </w:pPr>
            <w:r w:rsidRPr="54FF5FB7">
              <w:rPr>
                <w:rFonts w:ascii="Calibri" w:eastAsia="Calibri" w:hAnsi="Calibri" w:cs="Calibri"/>
                <w:sz w:val="22"/>
                <w:szCs w:val="22"/>
              </w:rPr>
              <w:t xml:space="preserve">Figure 2. </w:t>
            </w:r>
            <w:r w:rsidRPr="54FF5FB7">
              <w:rPr>
                <w:rFonts w:ascii="Calibri" w:eastAsia="Calibri" w:hAnsi="Calibri" w:cs="Calibri"/>
                <w:b w:val="0"/>
                <w:bCs w:val="0"/>
                <w:sz w:val="22"/>
                <w:szCs w:val="22"/>
              </w:rPr>
              <w:t xml:space="preserve">Top 5 Conditions with more patients identified by Source </w:t>
            </w:r>
            <w:r w:rsidR="001873F8">
              <w:rPr>
                <w:rFonts w:ascii="Calibri" w:eastAsia="Calibri" w:hAnsi="Calibri" w:cs="Calibri"/>
                <w:b w:val="0"/>
                <w:bCs w:val="0"/>
                <w:sz w:val="22"/>
                <w:szCs w:val="22"/>
              </w:rPr>
              <w:t>T</w:t>
            </w:r>
            <w:r w:rsidRPr="54FF5FB7">
              <w:rPr>
                <w:rFonts w:ascii="Calibri" w:eastAsia="Calibri" w:hAnsi="Calibri" w:cs="Calibri"/>
                <w:b w:val="0"/>
                <w:bCs w:val="0"/>
                <w:sz w:val="22"/>
                <w:szCs w:val="22"/>
              </w:rPr>
              <w:t>able-based approach</w:t>
            </w:r>
          </w:p>
        </w:tc>
      </w:tr>
      <w:tr w:rsidR="54FF5FB7" w14:paraId="2847C5A7" w14:textId="77777777" w:rsidTr="60F674C6">
        <w:tc>
          <w:tcPr>
            <w:cnfStyle w:val="001000000000" w:firstRow="0" w:lastRow="0" w:firstColumn="1" w:lastColumn="0" w:oddVBand="0" w:evenVBand="0" w:oddHBand="0" w:evenHBand="0" w:firstRowFirstColumn="0" w:firstRowLastColumn="0" w:lastRowFirstColumn="0" w:lastRowLastColumn="0"/>
            <w:tcW w:w="4746" w:type="dxa"/>
          </w:tcPr>
          <w:p w14:paraId="315EE67F" w14:textId="153F18B4" w:rsidR="54FF5FB7" w:rsidRDefault="54FF5FB7" w:rsidP="54FF5FB7">
            <w:pPr>
              <w:rPr>
                <w:rFonts w:ascii="Calibri" w:eastAsia="Calibri" w:hAnsi="Calibri" w:cs="Calibri"/>
                <w:b w:val="0"/>
                <w:bCs w:val="0"/>
                <w:sz w:val="22"/>
                <w:szCs w:val="22"/>
              </w:rPr>
            </w:pPr>
            <w:r>
              <w:rPr>
                <w:noProof/>
              </w:rPr>
              <w:drawing>
                <wp:inline distT="0" distB="0" distL="0" distR="0" wp14:anchorId="7B924B1B" wp14:editId="1532FCEF">
                  <wp:extent cx="2838450" cy="2143128"/>
                  <wp:effectExtent l="0" t="0" r="0" b="0"/>
                  <wp:docPr id="683593335" name="Picture 683593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rcRect t="3846"/>
                          <a:stretch>
                            <a:fillRect/>
                          </a:stretch>
                        </pic:blipFill>
                        <pic:spPr>
                          <a:xfrm>
                            <a:off x="0" y="0"/>
                            <a:ext cx="2838450" cy="2143128"/>
                          </a:xfrm>
                          <a:prstGeom prst="rect">
                            <a:avLst/>
                          </a:prstGeom>
                        </pic:spPr>
                      </pic:pic>
                    </a:graphicData>
                  </a:graphic>
                </wp:inline>
              </w:drawing>
            </w:r>
          </w:p>
        </w:tc>
        <w:tc>
          <w:tcPr>
            <w:tcW w:w="4746" w:type="dxa"/>
          </w:tcPr>
          <w:p w14:paraId="4EC47A61" w14:textId="30A37E7E" w:rsidR="54FF5FB7" w:rsidRDefault="54FF5FB7" w:rsidP="54FF5FB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Pr>
                <w:noProof/>
              </w:rPr>
              <w:drawing>
                <wp:inline distT="0" distB="0" distL="0" distR="0" wp14:anchorId="724AE473" wp14:editId="3762BC80">
                  <wp:extent cx="2838450" cy="2105037"/>
                  <wp:effectExtent l="0" t="0" r="0" b="0"/>
                  <wp:docPr id="1091138776" name="Picture 1091138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rcRect t="5555"/>
                          <a:stretch>
                            <a:fillRect/>
                          </a:stretch>
                        </pic:blipFill>
                        <pic:spPr>
                          <a:xfrm>
                            <a:off x="0" y="0"/>
                            <a:ext cx="2838450" cy="2105037"/>
                          </a:xfrm>
                          <a:prstGeom prst="rect">
                            <a:avLst/>
                          </a:prstGeom>
                        </pic:spPr>
                      </pic:pic>
                    </a:graphicData>
                  </a:graphic>
                </wp:inline>
              </w:drawing>
            </w:r>
          </w:p>
        </w:tc>
      </w:tr>
    </w:tbl>
    <w:p w14:paraId="7949EF83" w14:textId="3BA23021" w:rsidR="54FF5FB7" w:rsidRDefault="54FF5FB7" w:rsidP="00455291">
      <w:pPr>
        <w:spacing w:after="120"/>
        <w:rPr>
          <w:rFonts w:ascii="Calibri" w:eastAsia="Calibri" w:hAnsi="Calibri" w:cs="Calibri"/>
          <w:b/>
          <w:bCs/>
          <w:color w:val="000000" w:themeColor="text1"/>
          <w:sz w:val="22"/>
          <w:szCs w:val="22"/>
        </w:rPr>
      </w:pPr>
    </w:p>
    <w:sectPr w:rsidR="54FF5FB7">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34A93F" w14:textId="77777777" w:rsidR="00F311E7" w:rsidRDefault="00F311E7">
      <w:r>
        <w:separator/>
      </w:r>
    </w:p>
  </w:endnote>
  <w:endnote w:type="continuationSeparator" w:id="0">
    <w:p w14:paraId="594AEA12" w14:textId="77777777" w:rsidR="00F311E7" w:rsidRDefault="00F31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C759D0" w14:textId="77777777" w:rsidR="0045360A" w:rsidRDefault="004536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7B0C71" w14:textId="77777777" w:rsidR="00F31386" w:rsidRDefault="00F31386">
    <w:pPr>
      <w:pBdr>
        <w:top w:val="nil"/>
        <w:left w:val="nil"/>
        <w:bottom w:val="nil"/>
        <w:right w:val="nil"/>
        <w:between w:val="nil"/>
      </w:pBdr>
      <w:tabs>
        <w:tab w:val="center" w:pos="4320"/>
        <w:tab w:val="right" w:pos="8640"/>
      </w:tabs>
      <w:jc w:val="right"/>
      <w:rPr>
        <w:color w:val="000000"/>
      </w:rPr>
    </w:pPr>
  </w:p>
  <w:p w14:paraId="72990AF6" w14:textId="77777777" w:rsidR="00F31386" w:rsidRDefault="00F31386">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83A1B7" w14:textId="77777777" w:rsidR="0045360A" w:rsidRDefault="004536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8AF6AE" w14:textId="77777777" w:rsidR="00F311E7" w:rsidRDefault="00F311E7">
      <w:r>
        <w:separator/>
      </w:r>
    </w:p>
  </w:footnote>
  <w:footnote w:type="continuationSeparator" w:id="0">
    <w:p w14:paraId="651F6C30" w14:textId="77777777" w:rsidR="00F311E7" w:rsidRDefault="00F311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5DDC2" w14:textId="77777777" w:rsidR="0045360A" w:rsidRDefault="004536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0B278F" w14:textId="77777777" w:rsidR="0045360A" w:rsidRDefault="004536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DB8110" w14:textId="77777777" w:rsidR="0045360A" w:rsidRDefault="004536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467AD4"/>
    <w:multiLevelType w:val="multilevel"/>
    <w:tmpl w:val="B6266D2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624D7658"/>
    <w:multiLevelType w:val="multilevel"/>
    <w:tmpl w:val="DF58AD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isplayBackgroundShape/>
  <w:proofState w:spelling="clean" w:grammar="clean"/>
  <w:trackRevisions/>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386"/>
    <w:rsid w:val="00032906"/>
    <w:rsid w:val="00040033"/>
    <w:rsid w:val="00094D01"/>
    <w:rsid w:val="000A1028"/>
    <w:rsid w:val="000A1F13"/>
    <w:rsid w:val="000B613B"/>
    <w:rsid w:val="000C7962"/>
    <w:rsid w:val="000D0B44"/>
    <w:rsid w:val="000D182E"/>
    <w:rsid w:val="000D4ACD"/>
    <w:rsid w:val="000F38DD"/>
    <w:rsid w:val="001319DE"/>
    <w:rsid w:val="00153183"/>
    <w:rsid w:val="001768FC"/>
    <w:rsid w:val="001873F8"/>
    <w:rsid w:val="001A1363"/>
    <w:rsid w:val="001C7475"/>
    <w:rsid w:val="001D5301"/>
    <w:rsid w:val="001D78DD"/>
    <w:rsid w:val="001E536C"/>
    <w:rsid w:val="001F5515"/>
    <w:rsid w:val="00210E68"/>
    <w:rsid w:val="00224C00"/>
    <w:rsid w:val="00227C37"/>
    <w:rsid w:val="00263AF3"/>
    <w:rsid w:val="00295A75"/>
    <w:rsid w:val="002C03B0"/>
    <w:rsid w:val="002E4D7C"/>
    <w:rsid w:val="002F08C5"/>
    <w:rsid w:val="003075DC"/>
    <w:rsid w:val="003552D7"/>
    <w:rsid w:val="00361BD5"/>
    <w:rsid w:val="0036712A"/>
    <w:rsid w:val="003E21AF"/>
    <w:rsid w:val="0045360A"/>
    <w:rsid w:val="00455291"/>
    <w:rsid w:val="004675D5"/>
    <w:rsid w:val="00474037"/>
    <w:rsid w:val="004D5806"/>
    <w:rsid w:val="004E4D54"/>
    <w:rsid w:val="005023EF"/>
    <w:rsid w:val="00546E6D"/>
    <w:rsid w:val="0056095F"/>
    <w:rsid w:val="00565256"/>
    <w:rsid w:val="005934B7"/>
    <w:rsid w:val="005946B3"/>
    <w:rsid w:val="005F1470"/>
    <w:rsid w:val="006345C9"/>
    <w:rsid w:val="006466A9"/>
    <w:rsid w:val="00656D96"/>
    <w:rsid w:val="0066480C"/>
    <w:rsid w:val="00685DFC"/>
    <w:rsid w:val="00687CB5"/>
    <w:rsid w:val="006E5A23"/>
    <w:rsid w:val="0071691E"/>
    <w:rsid w:val="0073262A"/>
    <w:rsid w:val="00735FFB"/>
    <w:rsid w:val="00754D61"/>
    <w:rsid w:val="00765873"/>
    <w:rsid w:val="007E6B54"/>
    <w:rsid w:val="007F48D5"/>
    <w:rsid w:val="007F609F"/>
    <w:rsid w:val="00806F12"/>
    <w:rsid w:val="00817DB6"/>
    <w:rsid w:val="008266F4"/>
    <w:rsid w:val="00837B51"/>
    <w:rsid w:val="008435E3"/>
    <w:rsid w:val="00861F3A"/>
    <w:rsid w:val="00862C09"/>
    <w:rsid w:val="008658CA"/>
    <w:rsid w:val="00873118"/>
    <w:rsid w:val="00884947"/>
    <w:rsid w:val="008E1285"/>
    <w:rsid w:val="009B317C"/>
    <w:rsid w:val="00A04405"/>
    <w:rsid w:val="00A14E1A"/>
    <w:rsid w:val="00A33BB2"/>
    <w:rsid w:val="00A73267"/>
    <w:rsid w:val="00AA1792"/>
    <w:rsid w:val="00AE3E4D"/>
    <w:rsid w:val="00AE6BD1"/>
    <w:rsid w:val="00AF4098"/>
    <w:rsid w:val="00B15341"/>
    <w:rsid w:val="00B2151A"/>
    <w:rsid w:val="00B24519"/>
    <w:rsid w:val="00B72332"/>
    <w:rsid w:val="00B73813"/>
    <w:rsid w:val="00BB0B0E"/>
    <w:rsid w:val="00BB72C9"/>
    <w:rsid w:val="00BF1558"/>
    <w:rsid w:val="00C046A4"/>
    <w:rsid w:val="00C25BB1"/>
    <w:rsid w:val="00C33442"/>
    <w:rsid w:val="00C3601C"/>
    <w:rsid w:val="00C601C7"/>
    <w:rsid w:val="00C63DCD"/>
    <w:rsid w:val="00C907F4"/>
    <w:rsid w:val="00C90CBD"/>
    <w:rsid w:val="00C94DB3"/>
    <w:rsid w:val="00D45300"/>
    <w:rsid w:val="00D46CEC"/>
    <w:rsid w:val="00D57341"/>
    <w:rsid w:val="00D70489"/>
    <w:rsid w:val="00D9427A"/>
    <w:rsid w:val="00DA0170"/>
    <w:rsid w:val="00DC715B"/>
    <w:rsid w:val="00DD5B76"/>
    <w:rsid w:val="00E0049B"/>
    <w:rsid w:val="00E1354E"/>
    <w:rsid w:val="00E371C3"/>
    <w:rsid w:val="00E71A1B"/>
    <w:rsid w:val="00EE3643"/>
    <w:rsid w:val="00F22631"/>
    <w:rsid w:val="00F311E7"/>
    <w:rsid w:val="00F31386"/>
    <w:rsid w:val="00F37FF6"/>
    <w:rsid w:val="00F46675"/>
    <w:rsid w:val="00F87E36"/>
    <w:rsid w:val="00FA2976"/>
    <w:rsid w:val="0C137671"/>
    <w:rsid w:val="1F106232"/>
    <w:rsid w:val="47F8B159"/>
    <w:rsid w:val="54FF5FB7"/>
    <w:rsid w:val="60F674C6"/>
    <w:rsid w:val="742050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652F309"/>
  <w15:docId w15:val="{88670DAA-9679-4FA8-A428-9031FA4C2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E6D"/>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B72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360A"/>
    <w:pPr>
      <w:tabs>
        <w:tab w:val="center" w:pos="4680"/>
        <w:tab w:val="right" w:pos="9360"/>
      </w:tabs>
    </w:pPr>
  </w:style>
  <w:style w:type="character" w:customStyle="1" w:styleId="HeaderChar">
    <w:name w:val="Header Char"/>
    <w:basedOn w:val="DefaultParagraphFont"/>
    <w:link w:val="Header"/>
    <w:uiPriority w:val="99"/>
    <w:rsid w:val="0045360A"/>
  </w:style>
  <w:style w:type="paragraph" w:styleId="Footer">
    <w:name w:val="footer"/>
    <w:basedOn w:val="Normal"/>
    <w:link w:val="FooterChar"/>
    <w:uiPriority w:val="99"/>
    <w:unhideWhenUsed/>
    <w:rsid w:val="0045360A"/>
    <w:pPr>
      <w:tabs>
        <w:tab w:val="center" w:pos="4680"/>
        <w:tab w:val="right" w:pos="9360"/>
      </w:tabs>
    </w:pPr>
  </w:style>
  <w:style w:type="character" w:customStyle="1" w:styleId="FooterChar">
    <w:name w:val="Footer Char"/>
    <w:basedOn w:val="DefaultParagraphFont"/>
    <w:link w:val="Footer"/>
    <w:uiPriority w:val="99"/>
    <w:rsid w:val="0045360A"/>
  </w:style>
  <w:style w:type="paragraph" w:styleId="BalloonText">
    <w:name w:val="Balloon Text"/>
    <w:basedOn w:val="Normal"/>
    <w:link w:val="BalloonTextChar"/>
    <w:uiPriority w:val="99"/>
    <w:semiHidden/>
    <w:unhideWhenUsed/>
    <w:rsid w:val="0045360A"/>
    <w:rPr>
      <w:sz w:val="18"/>
      <w:szCs w:val="18"/>
    </w:rPr>
  </w:style>
  <w:style w:type="character" w:customStyle="1" w:styleId="BalloonTextChar">
    <w:name w:val="Balloon Text Char"/>
    <w:basedOn w:val="DefaultParagraphFont"/>
    <w:link w:val="BalloonText"/>
    <w:uiPriority w:val="99"/>
    <w:semiHidden/>
    <w:rsid w:val="0045360A"/>
    <w:rPr>
      <w:sz w:val="18"/>
      <w:szCs w:val="18"/>
    </w:rPr>
  </w:style>
  <w:style w:type="character" w:styleId="CommentReference">
    <w:name w:val="annotation reference"/>
    <w:basedOn w:val="DefaultParagraphFont"/>
    <w:uiPriority w:val="99"/>
    <w:semiHidden/>
    <w:unhideWhenUsed/>
    <w:rsid w:val="008658CA"/>
    <w:rPr>
      <w:sz w:val="16"/>
      <w:szCs w:val="16"/>
    </w:rPr>
  </w:style>
  <w:style w:type="paragraph" w:styleId="CommentText">
    <w:name w:val="annotation text"/>
    <w:basedOn w:val="Normal"/>
    <w:link w:val="CommentTextChar"/>
    <w:uiPriority w:val="99"/>
    <w:semiHidden/>
    <w:unhideWhenUsed/>
    <w:rsid w:val="008658CA"/>
  </w:style>
  <w:style w:type="character" w:customStyle="1" w:styleId="CommentTextChar">
    <w:name w:val="Comment Text Char"/>
    <w:basedOn w:val="DefaultParagraphFont"/>
    <w:link w:val="CommentText"/>
    <w:uiPriority w:val="99"/>
    <w:semiHidden/>
    <w:rsid w:val="008658CA"/>
  </w:style>
  <w:style w:type="paragraph" w:styleId="CommentSubject">
    <w:name w:val="annotation subject"/>
    <w:basedOn w:val="CommentText"/>
    <w:next w:val="CommentText"/>
    <w:link w:val="CommentSubjectChar"/>
    <w:uiPriority w:val="99"/>
    <w:semiHidden/>
    <w:unhideWhenUsed/>
    <w:rsid w:val="008658CA"/>
    <w:rPr>
      <w:b/>
      <w:bCs/>
    </w:rPr>
  </w:style>
  <w:style w:type="character" w:customStyle="1" w:styleId="CommentSubjectChar">
    <w:name w:val="Comment Subject Char"/>
    <w:basedOn w:val="CommentTextChar"/>
    <w:link w:val="CommentSubject"/>
    <w:uiPriority w:val="99"/>
    <w:semiHidden/>
    <w:rsid w:val="008658CA"/>
    <w:rPr>
      <w:b/>
      <w:bCs/>
    </w:rPr>
  </w:style>
  <w:style w:type="table" w:styleId="PlainTable4">
    <w:name w:val="Plain Table 4"/>
    <w:basedOn w:val="Table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818</Words>
  <Characters>4669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Gatsby, Elise K.</dc:creator>
  <cp:lastModifiedBy>Gatsby, Elise K.</cp:lastModifiedBy>
  <cp:revision>2</cp:revision>
  <dcterms:created xsi:type="dcterms:W3CDTF">2021-08-26T20:26:00Z</dcterms:created>
  <dcterms:modified xsi:type="dcterms:W3CDTF">2021-08-26T20:26:00Z</dcterms:modified>
</cp:coreProperties>
</file>