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0859F173" w14:textId="6DAC311A" w:rsidR="007708AC" w:rsidRPr="00DB6A71" w:rsidRDefault="00E041A3" w:rsidP="00DB6A71">
      <w:pPr>
        <w:pBdr>
          <w:top w:val="nil"/>
          <w:left w:val="nil"/>
          <w:bottom w:val="nil"/>
          <w:right w:val="nil"/>
          <w:between w:val="nil"/>
        </w:pBdr>
        <w:spacing w:after="280"/>
        <w:jc w:val="center"/>
        <w:rPr>
          <w:rFonts w:eastAsia="Calibri"/>
          <w:b/>
          <w:sz w:val="22"/>
          <w:szCs w:val="22"/>
          <w:vertAlign w:val="superscript"/>
        </w:rPr>
      </w:pPr>
      <w:r w:rsidRPr="009073EB">
        <w:rPr>
          <w:rFonts w:eastAsia="Calibri"/>
          <w:b/>
          <w:color w:val="000000"/>
          <w:sz w:val="22"/>
          <w:szCs w:val="22"/>
        </w:rPr>
        <w:t>The concept of anchoring in observational study design and its influence on baseline patient characteristics and study estimates</w:t>
      </w:r>
    </w:p>
    <w:p w14:paraId="0950548C" w14:textId="6BCBBFF4" w:rsidR="00575657" w:rsidRPr="00A7523F" w:rsidRDefault="00575657" w:rsidP="00575657">
      <w:pPr>
        <w:spacing w:line="276" w:lineRule="auto"/>
        <w:jc w:val="center"/>
        <w:rPr>
          <w:sz w:val="22"/>
          <w:szCs w:val="22"/>
          <w:vertAlign w:val="superscript"/>
        </w:rPr>
      </w:pPr>
      <w:r w:rsidRPr="00733B28">
        <w:rPr>
          <w:sz w:val="22"/>
          <w:szCs w:val="22"/>
        </w:rPr>
        <w:t xml:space="preserve">Anna Ostropolets, </w:t>
      </w:r>
      <w:r w:rsidRPr="00305350">
        <w:rPr>
          <w:sz w:val="22"/>
          <w:szCs w:val="22"/>
        </w:rPr>
        <w:t>Talita Duarte-Salles, Xintong Li,</w:t>
      </w:r>
      <w:r>
        <w:rPr>
          <w:sz w:val="22"/>
          <w:szCs w:val="22"/>
        </w:rPr>
        <w:t xml:space="preserve"> </w:t>
      </w:r>
      <w:r w:rsidRPr="00305350">
        <w:rPr>
          <w:sz w:val="22"/>
          <w:szCs w:val="22"/>
        </w:rPr>
        <w:t>Rupa Makadia, Daniel Prieto-Alhambra</w:t>
      </w:r>
      <w:r>
        <w:rPr>
          <w:sz w:val="22"/>
          <w:szCs w:val="22"/>
        </w:rPr>
        <w:t>,</w:t>
      </w:r>
      <w:r w:rsidRPr="00305350">
        <w:rPr>
          <w:sz w:val="22"/>
          <w:szCs w:val="22"/>
        </w:rPr>
        <w:t xml:space="preserve"> Gowtham Rao, Peter </w:t>
      </w:r>
      <w:r>
        <w:rPr>
          <w:sz w:val="22"/>
          <w:szCs w:val="22"/>
        </w:rPr>
        <w:t xml:space="preserve">R. </w:t>
      </w:r>
      <w:r w:rsidRPr="00305350">
        <w:rPr>
          <w:sz w:val="22"/>
          <w:szCs w:val="22"/>
        </w:rPr>
        <w:t xml:space="preserve">Rijnbeek,  </w:t>
      </w:r>
      <w:r>
        <w:rPr>
          <w:sz w:val="22"/>
          <w:szCs w:val="22"/>
        </w:rPr>
        <w:t>Martijn Schuemie</w:t>
      </w:r>
      <w:r w:rsidRPr="00305350">
        <w:rPr>
          <w:sz w:val="22"/>
          <w:szCs w:val="22"/>
        </w:rPr>
        <w:t xml:space="preserve">, Anthony G. Sena, Azza Shaoibi, Marc </w:t>
      </w:r>
      <w:r>
        <w:rPr>
          <w:sz w:val="22"/>
          <w:szCs w:val="22"/>
        </w:rPr>
        <w:t xml:space="preserve">A. </w:t>
      </w:r>
      <w:r w:rsidRPr="00305350">
        <w:rPr>
          <w:sz w:val="22"/>
          <w:szCs w:val="22"/>
        </w:rPr>
        <w:t xml:space="preserve">Suchard, Patrick </w:t>
      </w:r>
      <w:r>
        <w:rPr>
          <w:sz w:val="22"/>
          <w:szCs w:val="22"/>
        </w:rPr>
        <w:t xml:space="preserve">B. </w:t>
      </w:r>
      <w:r w:rsidRPr="00305350">
        <w:rPr>
          <w:sz w:val="22"/>
          <w:szCs w:val="22"/>
        </w:rPr>
        <w:t>Ryan</w:t>
      </w:r>
      <w:r>
        <w:rPr>
          <w:sz w:val="22"/>
          <w:szCs w:val="22"/>
        </w:rPr>
        <w:t>,</w:t>
      </w:r>
      <w:r w:rsidRPr="00733B28">
        <w:rPr>
          <w:sz w:val="22"/>
          <w:szCs w:val="22"/>
        </w:rPr>
        <w:t xml:space="preserve"> George </w:t>
      </w:r>
      <w:r w:rsidRPr="00733B28">
        <w:rPr>
          <w:color w:val="000000" w:themeColor="text1"/>
          <w:sz w:val="22"/>
          <w:szCs w:val="22"/>
        </w:rPr>
        <w:t>Hripcsak</w:t>
      </w:r>
    </w:p>
    <w:p w14:paraId="4347EB27" w14:textId="7AFC83FD" w:rsidR="00DF29B4" w:rsidRPr="009073EB" w:rsidRDefault="003A2F2E">
      <w:pPr>
        <w:keepNext/>
        <w:pBdr>
          <w:top w:val="nil"/>
          <w:left w:val="nil"/>
          <w:bottom w:val="nil"/>
          <w:right w:val="nil"/>
          <w:between w:val="nil"/>
        </w:pBdr>
        <w:spacing w:before="120" w:after="120"/>
        <w:jc w:val="both"/>
        <w:rPr>
          <w:rFonts w:eastAsia="Calibri"/>
          <w:b/>
          <w:sz w:val="22"/>
          <w:szCs w:val="22"/>
        </w:rPr>
      </w:pPr>
      <w:r w:rsidRPr="009073EB">
        <w:rPr>
          <w:rFonts w:eastAsia="Calibri"/>
          <w:b/>
          <w:sz w:val="22"/>
          <w:szCs w:val="22"/>
        </w:rPr>
        <w:t>Background</w:t>
      </w:r>
    </w:p>
    <w:p w14:paraId="763AA26A" w14:textId="40F4B730" w:rsidR="00DF29B4" w:rsidRPr="009073EB" w:rsidRDefault="00DF29B4">
      <w:pPr>
        <w:keepNext/>
        <w:pBdr>
          <w:top w:val="nil"/>
          <w:left w:val="nil"/>
          <w:bottom w:val="nil"/>
          <w:right w:val="nil"/>
          <w:between w:val="nil"/>
        </w:pBdr>
        <w:spacing w:before="120" w:after="120"/>
        <w:jc w:val="both"/>
        <w:rPr>
          <w:rFonts w:eastAsia="Calibri"/>
          <w:bCs/>
          <w:sz w:val="22"/>
          <w:szCs w:val="22"/>
        </w:rPr>
      </w:pPr>
      <w:r w:rsidRPr="009073EB">
        <w:rPr>
          <w:rFonts w:eastAsia="Calibri"/>
          <w:bCs/>
          <w:sz w:val="22"/>
          <w:szCs w:val="22"/>
        </w:rPr>
        <w:t xml:space="preserve">Cohort method is one of the most common methods in comparative effectiveness and safety studies. In a cohort study, we compare rates of events during time-at-risk in target and comparator groups. Such rates are, therefore, dependent on the choice of starting point for time-at-risk or, as we call it, anchoring. Choice of anchoring </w:t>
      </w:r>
      <w:r w:rsidR="00797847">
        <w:rPr>
          <w:rFonts w:eastAsia="Calibri"/>
          <w:bCs/>
          <w:sz w:val="22"/>
          <w:szCs w:val="22"/>
        </w:rPr>
        <w:t>may influence</w:t>
      </w:r>
      <w:r w:rsidRPr="009073EB">
        <w:rPr>
          <w:rFonts w:eastAsia="Calibri"/>
          <w:bCs/>
          <w:sz w:val="22"/>
          <w:szCs w:val="22"/>
        </w:rPr>
        <w:t xml:space="preserve"> both the rates of observed outcomes and baseline patient characteristics</w:t>
      </w:r>
      <w:r w:rsidR="005441D0" w:rsidRPr="009073EB">
        <w:rPr>
          <w:rFonts w:eastAsia="Calibri"/>
          <w:bCs/>
          <w:sz w:val="22"/>
          <w:szCs w:val="22"/>
        </w:rPr>
        <w:t>, which are subsequently used in propensity score mode</w:t>
      </w:r>
      <w:r w:rsidR="00797847">
        <w:rPr>
          <w:rFonts w:eastAsia="Calibri"/>
          <w:bCs/>
          <w:sz w:val="22"/>
          <w:szCs w:val="22"/>
        </w:rPr>
        <w:t>ls or outcome models</w:t>
      </w:r>
      <w:r w:rsidR="005441D0" w:rsidRPr="009073EB">
        <w:rPr>
          <w:rFonts w:eastAsia="Calibri"/>
          <w:bCs/>
          <w:sz w:val="22"/>
          <w:szCs w:val="22"/>
        </w:rPr>
        <w:t xml:space="preserve">. Despite the extensive use of cohort method, the impact of anchoring on the abovementioned </w:t>
      </w:r>
      <w:r w:rsidR="00797847">
        <w:rPr>
          <w:rFonts w:eastAsia="Calibri"/>
          <w:bCs/>
          <w:sz w:val="22"/>
          <w:szCs w:val="22"/>
        </w:rPr>
        <w:t>measures</w:t>
      </w:r>
      <w:r w:rsidR="005441D0" w:rsidRPr="009073EB">
        <w:rPr>
          <w:rFonts w:eastAsia="Calibri"/>
          <w:bCs/>
          <w:sz w:val="22"/>
          <w:szCs w:val="22"/>
        </w:rPr>
        <w:t xml:space="preserve"> and, as a result, on </w:t>
      </w:r>
      <w:r w:rsidR="00797847">
        <w:rPr>
          <w:rFonts w:eastAsia="Calibri"/>
          <w:bCs/>
          <w:sz w:val="22"/>
          <w:szCs w:val="22"/>
        </w:rPr>
        <w:t xml:space="preserve">the </w:t>
      </w:r>
      <w:r w:rsidR="005441D0" w:rsidRPr="009073EB">
        <w:rPr>
          <w:rFonts w:eastAsia="Calibri"/>
          <w:bCs/>
          <w:sz w:val="22"/>
          <w:szCs w:val="22"/>
        </w:rPr>
        <w:t>study estimates has not been studied systematically.</w:t>
      </w:r>
    </w:p>
    <w:p w14:paraId="180A5CBF" w14:textId="119D4DDF" w:rsidR="00DF29B4" w:rsidRPr="009073EB" w:rsidRDefault="00797847">
      <w:pPr>
        <w:keepNext/>
        <w:pBdr>
          <w:top w:val="nil"/>
          <w:left w:val="nil"/>
          <w:bottom w:val="nil"/>
          <w:right w:val="nil"/>
          <w:between w:val="nil"/>
        </w:pBdr>
        <w:spacing w:before="120" w:after="120"/>
        <w:jc w:val="both"/>
        <w:rPr>
          <w:rFonts w:eastAsia="Calibri"/>
          <w:bCs/>
          <w:sz w:val="22"/>
          <w:szCs w:val="22"/>
        </w:rPr>
      </w:pPr>
      <w:r>
        <w:rPr>
          <w:rFonts w:eastAsia="Calibri"/>
          <w:bCs/>
          <w:sz w:val="22"/>
          <w:szCs w:val="22"/>
        </w:rPr>
        <w:t>The c</w:t>
      </w:r>
      <w:r w:rsidR="00E041A3" w:rsidRPr="009073EB">
        <w:rPr>
          <w:rFonts w:eastAsia="Calibri"/>
          <w:bCs/>
          <w:sz w:val="22"/>
          <w:szCs w:val="22"/>
        </w:rPr>
        <w:t xml:space="preserve">urrent COVID-19 vaccination campaign requires rapid yet robust safety monitoring of potential adverse events. When cohort method is applied in vaccine safety studies, </w:t>
      </w:r>
      <w:r>
        <w:rPr>
          <w:rFonts w:eastAsia="Calibri"/>
          <w:bCs/>
          <w:sz w:val="22"/>
          <w:szCs w:val="22"/>
        </w:rPr>
        <w:t xml:space="preserve">a </w:t>
      </w:r>
      <w:r w:rsidR="00E041A3" w:rsidRPr="009073EB">
        <w:rPr>
          <w:rFonts w:eastAsia="Calibri"/>
          <w:bCs/>
          <w:sz w:val="22"/>
          <w:szCs w:val="22"/>
        </w:rPr>
        <w:t xml:space="preserve">vaccinated population is compared to </w:t>
      </w:r>
      <w:r>
        <w:rPr>
          <w:rFonts w:eastAsia="Calibri"/>
          <w:bCs/>
          <w:sz w:val="22"/>
          <w:szCs w:val="22"/>
        </w:rPr>
        <w:t xml:space="preserve">an </w:t>
      </w:r>
      <w:r w:rsidR="00E041A3" w:rsidRPr="009073EB">
        <w:rPr>
          <w:rFonts w:eastAsia="Calibri"/>
          <w:bCs/>
          <w:sz w:val="22"/>
          <w:szCs w:val="22"/>
        </w:rPr>
        <w:t>unvaccinated population. The latter cohort does not have a clear index date, which is left up to researchers’ judgment. W</w:t>
      </w:r>
      <w:r w:rsidR="005441D0" w:rsidRPr="009073EB">
        <w:rPr>
          <w:rFonts w:eastAsia="Calibri"/>
          <w:bCs/>
          <w:sz w:val="22"/>
          <w:szCs w:val="22"/>
        </w:rPr>
        <w:t>e</w:t>
      </w:r>
      <w:r w:rsidR="00E041A3" w:rsidRPr="009073EB">
        <w:rPr>
          <w:rFonts w:eastAsia="Calibri"/>
          <w:bCs/>
          <w:sz w:val="22"/>
          <w:szCs w:val="22"/>
        </w:rPr>
        <w:t xml:space="preserve">, therefore, </w:t>
      </w:r>
      <w:r w:rsidR="005441D0" w:rsidRPr="009073EB">
        <w:rPr>
          <w:rFonts w:eastAsia="Calibri"/>
          <w:bCs/>
          <w:sz w:val="22"/>
          <w:szCs w:val="22"/>
        </w:rPr>
        <w:t xml:space="preserve">investigate </w:t>
      </w:r>
      <w:r w:rsidR="00E041A3" w:rsidRPr="009073EB">
        <w:rPr>
          <w:rFonts w:eastAsia="Calibri"/>
          <w:bCs/>
          <w:sz w:val="22"/>
          <w:szCs w:val="22"/>
        </w:rPr>
        <w:t>the</w:t>
      </w:r>
      <w:r w:rsidR="005441D0" w:rsidRPr="009073EB">
        <w:rPr>
          <w:rFonts w:eastAsia="Calibri"/>
          <w:bCs/>
          <w:sz w:val="22"/>
          <w:szCs w:val="22"/>
        </w:rPr>
        <w:t xml:space="preserve"> influence </w:t>
      </w:r>
      <w:r w:rsidR="00E041A3" w:rsidRPr="009073EB">
        <w:rPr>
          <w:rFonts w:eastAsia="Calibri"/>
          <w:bCs/>
          <w:sz w:val="22"/>
          <w:szCs w:val="22"/>
        </w:rPr>
        <w:t xml:space="preserve">of anchoring unvaccinated population on a visit or random date on incidence rates of 15 adverse events occurring during different time-at-risk windows. Additionally, we investigate its impact </w:t>
      </w:r>
      <w:r w:rsidR="005441D0" w:rsidRPr="009073EB">
        <w:rPr>
          <w:rFonts w:eastAsia="Calibri"/>
          <w:bCs/>
          <w:sz w:val="22"/>
          <w:szCs w:val="22"/>
        </w:rPr>
        <w:t>o</w:t>
      </w:r>
      <w:r w:rsidR="00E041A3" w:rsidRPr="009073EB">
        <w:rPr>
          <w:rFonts w:eastAsia="Calibri"/>
          <w:bCs/>
          <w:sz w:val="22"/>
          <w:szCs w:val="22"/>
        </w:rPr>
        <w:t>n baseline patient characteristics in unvaccinated and vaccinated populations.</w:t>
      </w:r>
    </w:p>
    <w:p w14:paraId="2AA67343" w14:textId="77777777" w:rsidR="00E041A3" w:rsidRPr="009073EB" w:rsidRDefault="00E041A3">
      <w:pPr>
        <w:keepNext/>
        <w:pBdr>
          <w:top w:val="nil"/>
          <w:left w:val="nil"/>
          <w:bottom w:val="nil"/>
          <w:right w:val="nil"/>
          <w:between w:val="nil"/>
        </w:pBdr>
        <w:spacing w:before="120" w:after="120"/>
        <w:jc w:val="both"/>
        <w:rPr>
          <w:rFonts w:eastAsia="Calibri"/>
          <w:bCs/>
          <w:color w:val="000000"/>
          <w:sz w:val="22"/>
          <w:szCs w:val="22"/>
        </w:rPr>
      </w:pPr>
    </w:p>
    <w:p w14:paraId="7AE58113" w14:textId="44606B88" w:rsidR="00F76881" w:rsidRPr="009073EB" w:rsidRDefault="003A2F2E">
      <w:pPr>
        <w:pBdr>
          <w:top w:val="nil"/>
          <w:left w:val="nil"/>
          <w:bottom w:val="nil"/>
          <w:right w:val="nil"/>
          <w:between w:val="nil"/>
        </w:pBdr>
        <w:spacing w:after="120"/>
        <w:jc w:val="both"/>
        <w:rPr>
          <w:rFonts w:eastAsia="Calibri"/>
          <w:b/>
          <w:sz w:val="22"/>
          <w:szCs w:val="22"/>
        </w:rPr>
      </w:pPr>
      <w:r w:rsidRPr="009073EB">
        <w:rPr>
          <w:rFonts w:eastAsia="Calibri"/>
          <w:b/>
          <w:sz w:val="22"/>
          <w:szCs w:val="22"/>
        </w:rPr>
        <w:t>Methods</w:t>
      </w:r>
    </w:p>
    <w:p w14:paraId="6D08EEF7" w14:textId="33204BB3" w:rsidR="00F76881" w:rsidRPr="009073EB" w:rsidRDefault="00F76881">
      <w:pPr>
        <w:pBdr>
          <w:top w:val="nil"/>
          <w:left w:val="nil"/>
          <w:bottom w:val="nil"/>
          <w:right w:val="nil"/>
          <w:between w:val="nil"/>
        </w:pBdr>
        <w:spacing w:after="120"/>
        <w:jc w:val="both"/>
        <w:rPr>
          <w:rFonts w:eastAsia="Calibri"/>
          <w:bCs/>
          <w:sz w:val="22"/>
          <w:szCs w:val="22"/>
        </w:rPr>
      </w:pPr>
      <w:r w:rsidRPr="009073EB">
        <w:rPr>
          <w:rFonts w:eastAsia="Calibri"/>
          <w:bCs/>
          <w:sz w:val="22"/>
          <w:szCs w:val="22"/>
        </w:rPr>
        <w:t xml:space="preserve">We modified the study design described elsewhere </w:t>
      </w:r>
      <w:r w:rsidRPr="009073EB">
        <w:rPr>
          <w:rFonts w:eastAsia="Calibri"/>
          <w:bCs/>
          <w:sz w:val="22"/>
          <w:szCs w:val="22"/>
        </w:rPr>
        <w:fldChar w:fldCharType="begin"/>
      </w:r>
      <w:r w:rsidRPr="009073EB">
        <w:rPr>
          <w:rFonts w:eastAsia="Calibri"/>
          <w:bCs/>
          <w:sz w:val="22"/>
          <w:szCs w:val="22"/>
        </w:rPr>
        <w:instrText xml:space="preserve"> ADDIN ZOTERO_ITEM CSL_CITATION {"citationID":"kY0pYTxW","properties":{"formattedCitation":"(1)","plainCitation":"(1)","noteIndex":0},"citationItems":[{"id":9264,"uris":["http://zotero.org/users/local/DyUaTr24/items/TUV7M8TG"],"uri":["http://zotero.org/users/local/DyUaTr24/items/TUV7M8TG"],"itemData":{"id":9264,"type":"article-journal","abstract":"Abstract\n            \n              Objective\n              To quantify the background incidence rates of 15 prespecified adverse events of special interest (AESIs) associated with covid-19 vaccines.\n            \n            \n              Design\n              Multinational network cohort study.\n            \n            \n              Setting\n              Electronic health records and health claims data from eight countries: Australia, France, Germany, Japan, the Netherlands, Spain, the United Kingdom, and the United States, mapped to a common data model.\n            \n            \n              Participants\n              126 661 070 people observed for at least 365 days before 1 January 2017, 2018, or 2019 from 13 databases.\n            \n            \n              Main outcome measures\n              Events of interests were 15 prespecified AESIs (non-haemorrhagic and haemorrhagic stroke, acute myocardial infarction, deep vein thrombosis, pulmonary embolism, anaphylaxis, Bell’s palsy, myocarditis or pericarditis, narcolepsy, appendicitis, immune thrombocytopenia, disseminated intravascular coagulation, encephalomyelitis (including acute disseminated encephalomyelitis), Guillain-Barré syndrome, and transverse myelitis). Incidence rates of AESIs were stratified by age, sex, and database. Rates were pooled across databases using random effects meta-analyses and classified according to the frequency categories of the Council for International Organizations of Medical Sciences.\n            \n            \n              Results\n              Background rates varied greatly between databases. Deep vein thrombosis ranged from 387 (95% confidence interval 370 to 404) per 100 000 person years in UK CPRD GOLD data to 1443 (1416 to 1470) per 100 000 person years in US IBM MarketScan Multi-State Medicaid data among women aged 65 to 74 years. Some AESIs increased with age. For example, myocardial infarction rates in men increased from 28 (27 to 29) per 100 000 person years among those aged 18-34 years to 1400 (1374 to 1427) per 100 000 person years in those older than 85 years in US Optum electronic health record data. Other AESIs were more common in young people. For example, rates of anaphylaxis among boys and men were 78 (75 to 80) per 100 000 person years in those aged 6-17 years and 8 (6 to 10) per 100 000 person years in those older than 85 years in Optum electronic health record data. Meta-analytic estimates of AESI rates were classified according to age and sex.\n            \n            \n              Conclusion\n              This study found large variations in the observed rates of AESIs by age group and sex, showing the need for stratification or standardisation before using background rates for safety surveillance. Considerable population level heterogeneity in AESI rates was found between databases.","container-title":"BMJ","DOI":"10.1136/bmj.n1435","ISSN":"1756-1833","journalAbbreviation":"BMJ","language":"en","page":"n1435","source":"DOI.org (Crossref)","title":"Characterising the background incidence rates of adverse events of special interest for covid-19 vaccines in eight countries: multinational network cohort study","title-short":"Characterising the background incidence rates of adverse events of special interest for covid-19 vaccines in eight countries","author":[{"family":"Li","given":"Xintong"},{"family":"Ostropolets","given":"Anna"},{"family":"Makadia","given":"Rupa"},{"family":"Shoaibi","given":"Azza"},{"family":"Rao","given":"Gowtham"},{"family":"Sena","given":"Anthony G"},{"family":"Martinez-Hernandez","given":"Eugenia"},{"family":"Delmestri","given":"Antonella"},{"family":"Verhamme","given":"Katia"},{"family":"Rijnbeek","given":"Peter R"},{"family":"Duarte-Salles","given":"Talita"},{"family":"Suchard","given":"Marc A"},{"family":"Ryan","given":"Patrick B"},{"family":"Hripcsak","given":"George"},{"family":"Prieto-Alhambra","given":"Daniel"}],"issued":{"date-parts":[["2021",6,14]]}}}],"schema":"https://github.com/citation-style-language/schema/raw/master/csl-citation.json"} </w:instrText>
      </w:r>
      <w:r w:rsidRPr="009073EB">
        <w:rPr>
          <w:rFonts w:eastAsia="Calibri"/>
          <w:bCs/>
          <w:sz w:val="22"/>
          <w:szCs w:val="22"/>
        </w:rPr>
        <w:fldChar w:fldCharType="separate"/>
      </w:r>
      <w:r w:rsidRPr="009073EB">
        <w:rPr>
          <w:rFonts w:eastAsia="Calibri"/>
          <w:bCs/>
          <w:noProof/>
          <w:sz w:val="22"/>
          <w:szCs w:val="22"/>
        </w:rPr>
        <w:t>(1)</w:t>
      </w:r>
      <w:r w:rsidRPr="009073EB">
        <w:rPr>
          <w:rFonts w:eastAsia="Calibri"/>
          <w:bCs/>
          <w:sz w:val="22"/>
          <w:szCs w:val="22"/>
        </w:rPr>
        <w:fldChar w:fldCharType="end"/>
      </w:r>
      <w:r w:rsidRPr="009073EB">
        <w:rPr>
          <w:rFonts w:eastAsia="Calibri"/>
          <w:bCs/>
          <w:sz w:val="22"/>
          <w:szCs w:val="22"/>
        </w:rPr>
        <w:t>. Briefly, we</w:t>
      </w:r>
      <w:r w:rsidR="00797847">
        <w:rPr>
          <w:rFonts w:eastAsia="Calibri"/>
          <w:bCs/>
          <w:sz w:val="22"/>
          <w:szCs w:val="22"/>
        </w:rPr>
        <w:t xml:space="preserve"> used 12 data sources to</w:t>
      </w:r>
      <w:r w:rsidRPr="009073EB">
        <w:rPr>
          <w:rFonts w:eastAsia="Calibri"/>
          <w:bCs/>
          <w:sz w:val="22"/>
          <w:szCs w:val="22"/>
        </w:rPr>
        <w:t xml:space="preserve"> stud</w:t>
      </w:r>
      <w:r w:rsidR="00797847">
        <w:rPr>
          <w:rFonts w:eastAsia="Calibri"/>
          <w:bCs/>
          <w:sz w:val="22"/>
          <w:szCs w:val="22"/>
        </w:rPr>
        <w:t>y</w:t>
      </w:r>
      <w:r w:rsidRPr="009073EB">
        <w:rPr>
          <w:rFonts w:eastAsia="Calibri"/>
          <w:bCs/>
          <w:sz w:val="22"/>
          <w:szCs w:val="22"/>
        </w:rPr>
        <w:t xml:space="preserve"> incidence rates of 15 adverse events of special interest in unvaccinated population in 2017-2020 </w:t>
      </w:r>
      <w:r w:rsidR="00797847">
        <w:rPr>
          <w:rFonts w:eastAsia="Calibri"/>
          <w:bCs/>
          <w:sz w:val="22"/>
          <w:szCs w:val="22"/>
        </w:rPr>
        <w:t>in</w:t>
      </w:r>
      <w:r w:rsidRPr="009073EB">
        <w:rPr>
          <w:rFonts w:eastAsia="Calibri"/>
          <w:bCs/>
          <w:sz w:val="22"/>
          <w:szCs w:val="22"/>
        </w:rPr>
        <w:t xml:space="preserve"> a number of time-at-risk intervals (0 – 1 days, 1 – 28 days, 1 – 42 days, 1 – 90 days and 1 – 365 days). We then compared incidence rate ratios </w:t>
      </w:r>
      <w:r w:rsidR="00B07B2D">
        <w:rPr>
          <w:rFonts w:eastAsia="Calibri"/>
          <w:bCs/>
          <w:sz w:val="22"/>
          <w:szCs w:val="22"/>
        </w:rPr>
        <w:t xml:space="preserve">(IRR) </w:t>
      </w:r>
      <w:r w:rsidRPr="009073EB">
        <w:rPr>
          <w:rFonts w:eastAsia="Calibri"/>
          <w:bCs/>
          <w:sz w:val="22"/>
          <w:szCs w:val="22"/>
        </w:rPr>
        <w:t>of incidence rates</w:t>
      </w:r>
      <w:r w:rsidR="00B07B2D">
        <w:rPr>
          <w:rFonts w:eastAsia="Calibri"/>
          <w:bCs/>
          <w:sz w:val="22"/>
          <w:szCs w:val="22"/>
        </w:rPr>
        <w:t xml:space="preserve"> </w:t>
      </w:r>
      <w:r w:rsidRPr="009073EB">
        <w:rPr>
          <w:rFonts w:eastAsia="Calibri"/>
          <w:bCs/>
          <w:sz w:val="22"/>
          <w:szCs w:val="22"/>
        </w:rPr>
        <w:t xml:space="preserve">in two pairs of cohorts with different index dates (“anchoring”): </w:t>
      </w:r>
      <w:r w:rsidR="00797847">
        <w:rPr>
          <w:rFonts w:eastAsia="Calibri"/>
          <w:bCs/>
          <w:sz w:val="22"/>
          <w:szCs w:val="22"/>
        </w:rPr>
        <w:t xml:space="preserve">a) </w:t>
      </w:r>
      <w:r w:rsidRPr="009073EB">
        <w:rPr>
          <w:rFonts w:eastAsia="Calibri"/>
          <w:bCs/>
          <w:sz w:val="22"/>
          <w:szCs w:val="22"/>
        </w:rPr>
        <w:t>patients entering a cohort on January 1</w:t>
      </w:r>
      <w:r w:rsidRPr="009073EB">
        <w:rPr>
          <w:rFonts w:eastAsia="Calibri"/>
          <w:bCs/>
          <w:sz w:val="22"/>
          <w:szCs w:val="22"/>
          <w:vertAlign w:val="superscript"/>
        </w:rPr>
        <w:t xml:space="preserve">st </w:t>
      </w:r>
      <w:r w:rsidRPr="009073EB">
        <w:rPr>
          <w:rFonts w:eastAsia="Calibri"/>
          <w:bCs/>
          <w:sz w:val="22"/>
          <w:szCs w:val="22"/>
        </w:rPr>
        <w:t xml:space="preserve">with a visit in the next year versus patients entering on a random visit and </w:t>
      </w:r>
      <w:r w:rsidR="00797847">
        <w:rPr>
          <w:rFonts w:eastAsia="Calibri"/>
          <w:bCs/>
          <w:sz w:val="22"/>
          <w:szCs w:val="22"/>
        </w:rPr>
        <w:t xml:space="preserve">b) </w:t>
      </w:r>
      <w:r w:rsidRPr="009073EB">
        <w:rPr>
          <w:rFonts w:eastAsia="Calibri"/>
          <w:bCs/>
          <w:sz w:val="22"/>
          <w:szCs w:val="22"/>
        </w:rPr>
        <w:t>patients entering on January 1</w:t>
      </w:r>
      <w:r w:rsidRPr="009073EB">
        <w:rPr>
          <w:rFonts w:eastAsia="Calibri"/>
          <w:bCs/>
          <w:sz w:val="22"/>
          <w:szCs w:val="22"/>
          <w:vertAlign w:val="superscript"/>
        </w:rPr>
        <w:t xml:space="preserve">st </w:t>
      </w:r>
      <w:r w:rsidRPr="009073EB">
        <w:rPr>
          <w:rFonts w:eastAsia="Calibri"/>
          <w:bCs/>
          <w:sz w:val="22"/>
          <w:szCs w:val="22"/>
        </w:rPr>
        <w:t xml:space="preserve">with a well visit in the next year </w:t>
      </w:r>
      <w:r w:rsidR="00797847">
        <w:rPr>
          <w:rFonts w:eastAsia="Calibri"/>
          <w:bCs/>
          <w:sz w:val="22"/>
          <w:szCs w:val="22"/>
        </w:rPr>
        <w:t>versus</w:t>
      </w:r>
      <w:r w:rsidRPr="009073EB">
        <w:rPr>
          <w:rFonts w:eastAsia="Calibri"/>
          <w:bCs/>
          <w:sz w:val="22"/>
          <w:szCs w:val="22"/>
        </w:rPr>
        <w:t xml:space="preserve"> patients entering on a well visit. </w:t>
      </w:r>
      <w:r w:rsidR="00DB6A71">
        <w:rPr>
          <w:rFonts w:eastAsia="Calibri"/>
          <w:bCs/>
          <w:sz w:val="22"/>
          <w:szCs w:val="22"/>
        </w:rPr>
        <w:t>We performed random-effect meta-analysis across data sources.</w:t>
      </w:r>
    </w:p>
    <w:p w14:paraId="2E4EC6B2" w14:textId="3CD999AE" w:rsidR="00E041A3" w:rsidRPr="009073EB" w:rsidRDefault="00E041A3" w:rsidP="00DB6A71">
      <w:pPr>
        <w:pBdr>
          <w:top w:val="nil"/>
          <w:left w:val="nil"/>
          <w:bottom w:val="nil"/>
          <w:right w:val="nil"/>
          <w:between w:val="nil"/>
        </w:pBdr>
        <w:spacing w:after="120"/>
        <w:jc w:val="both"/>
        <w:rPr>
          <w:sz w:val="22"/>
          <w:szCs w:val="22"/>
        </w:rPr>
      </w:pPr>
      <w:r w:rsidRPr="009073EB">
        <w:rPr>
          <w:rFonts w:eastAsia="Calibri"/>
          <w:bCs/>
          <w:sz w:val="22"/>
          <w:szCs w:val="22"/>
        </w:rPr>
        <w:t xml:space="preserve">To study the effect of anchoring on baseline patient characteristics we </w:t>
      </w:r>
      <w:r w:rsidR="00F76881" w:rsidRPr="009073EB">
        <w:rPr>
          <w:rFonts w:eastAsia="Calibri"/>
          <w:bCs/>
          <w:sz w:val="22"/>
          <w:szCs w:val="22"/>
        </w:rPr>
        <w:t>studied patients with</w:t>
      </w:r>
      <w:r w:rsidRPr="009073EB">
        <w:rPr>
          <w:sz w:val="22"/>
          <w:szCs w:val="22"/>
        </w:rPr>
        <w:t xml:space="preserve"> COVID-19 vaccine. </w:t>
      </w:r>
      <w:r w:rsidR="00F76881" w:rsidRPr="009073EB">
        <w:rPr>
          <w:sz w:val="22"/>
          <w:szCs w:val="22"/>
        </w:rPr>
        <w:t xml:space="preserve">We compared their baseline characteristics </w:t>
      </w:r>
      <w:r w:rsidR="00797847">
        <w:rPr>
          <w:sz w:val="22"/>
          <w:szCs w:val="22"/>
        </w:rPr>
        <w:t>with</w:t>
      </w:r>
      <w:r w:rsidR="00F76881" w:rsidRPr="009073EB">
        <w:rPr>
          <w:sz w:val="22"/>
          <w:szCs w:val="22"/>
        </w:rPr>
        <w:t xml:space="preserve"> the baseline characteristics of unvaccinated patients </w:t>
      </w:r>
      <w:r w:rsidR="009073EB" w:rsidRPr="009073EB">
        <w:rPr>
          <w:sz w:val="22"/>
          <w:szCs w:val="22"/>
        </w:rPr>
        <w:t>entering the cohort on a) a date matched to the index date of one of the target group, b) a visit matched to the index date of one of the target group.</w:t>
      </w:r>
      <w:r w:rsidR="00DB6A71">
        <w:rPr>
          <w:sz w:val="22"/>
          <w:szCs w:val="22"/>
        </w:rPr>
        <w:t xml:space="preserve"> </w:t>
      </w:r>
      <w:r w:rsidRPr="009073EB">
        <w:rPr>
          <w:sz w:val="22"/>
          <w:szCs w:val="22"/>
        </w:rPr>
        <w:t>Additionally, each target and comparator groups were matched on age and sex.</w:t>
      </w:r>
      <w:r w:rsidR="009073EB" w:rsidRPr="009073EB">
        <w:rPr>
          <w:sz w:val="22"/>
          <w:szCs w:val="22"/>
        </w:rPr>
        <w:t xml:space="preserve"> Baseline characteristics w</w:t>
      </w:r>
      <w:r w:rsidR="00797847">
        <w:rPr>
          <w:sz w:val="22"/>
          <w:szCs w:val="22"/>
        </w:rPr>
        <w:t>ere</w:t>
      </w:r>
      <w:r w:rsidR="009073EB" w:rsidRPr="009073EB">
        <w:rPr>
          <w:sz w:val="22"/>
          <w:szCs w:val="22"/>
        </w:rPr>
        <w:t xml:space="preserve"> assessed on day 0, </w:t>
      </w:r>
      <w:r w:rsidRPr="009073EB">
        <w:rPr>
          <w:sz w:val="22"/>
          <w:szCs w:val="22"/>
        </w:rPr>
        <w:t>30</w:t>
      </w:r>
      <w:r w:rsidR="009073EB" w:rsidRPr="009073EB">
        <w:rPr>
          <w:sz w:val="22"/>
          <w:szCs w:val="22"/>
        </w:rPr>
        <w:t xml:space="preserve"> days</w:t>
      </w:r>
      <w:r w:rsidRPr="009073EB">
        <w:rPr>
          <w:sz w:val="22"/>
          <w:szCs w:val="22"/>
        </w:rPr>
        <w:t xml:space="preserve"> to 1 day prior to the index date </w:t>
      </w:r>
      <w:r w:rsidR="009073EB" w:rsidRPr="009073EB">
        <w:rPr>
          <w:sz w:val="22"/>
          <w:szCs w:val="22"/>
        </w:rPr>
        <w:t>and</w:t>
      </w:r>
      <w:r w:rsidRPr="009073EB">
        <w:rPr>
          <w:sz w:val="22"/>
          <w:szCs w:val="22"/>
        </w:rPr>
        <w:t xml:space="preserve"> 180</w:t>
      </w:r>
      <w:r w:rsidR="009073EB" w:rsidRPr="009073EB">
        <w:rPr>
          <w:sz w:val="22"/>
          <w:szCs w:val="22"/>
        </w:rPr>
        <w:t xml:space="preserve"> days</w:t>
      </w:r>
      <w:r w:rsidRPr="009073EB">
        <w:rPr>
          <w:sz w:val="22"/>
          <w:szCs w:val="22"/>
        </w:rPr>
        <w:t xml:space="preserve"> to 31 day</w:t>
      </w:r>
      <w:r w:rsidR="009073EB" w:rsidRPr="009073EB">
        <w:rPr>
          <w:sz w:val="22"/>
          <w:szCs w:val="22"/>
        </w:rPr>
        <w:t>s</w:t>
      </w:r>
      <w:r w:rsidRPr="009073EB">
        <w:rPr>
          <w:sz w:val="22"/>
          <w:szCs w:val="22"/>
        </w:rPr>
        <w:t xml:space="preserve"> prior to the index date</w:t>
      </w:r>
      <w:r w:rsidR="009073EB" w:rsidRPr="009073EB">
        <w:rPr>
          <w:sz w:val="22"/>
          <w:szCs w:val="22"/>
        </w:rPr>
        <w:t>. This analysis was conducted on the data sources with COVID-19 vaccination data available (CUMC and Optum EHR).</w:t>
      </w:r>
    </w:p>
    <w:p w14:paraId="2CB0F063" w14:textId="6EC124AF" w:rsidR="007708AC" w:rsidRPr="009073EB" w:rsidRDefault="007708AC" w:rsidP="00B07B2D">
      <w:pPr>
        <w:pBdr>
          <w:top w:val="nil"/>
          <w:left w:val="nil"/>
          <w:bottom w:val="nil"/>
          <w:right w:val="nil"/>
          <w:between w:val="nil"/>
        </w:pBdr>
        <w:spacing w:after="120"/>
        <w:jc w:val="both"/>
        <w:rPr>
          <w:rFonts w:eastAsia="Calibri"/>
          <w:b/>
          <w:sz w:val="22"/>
          <w:szCs w:val="22"/>
        </w:rPr>
      </w:pPr>
    </w:p>
    <w:p w14:paraId="084D93CA" w14:textId="485BC852" w:rsidR="009073EB" w:rsidRDefault="003A2F2E" w:rsidP="00B07B2D">
      <w:pPr>
        <w:keepNext/>
        <w:pBdr>
          <w:top w:val="nil"/>
          <w:left w:val="nil"/>
          <w:bottom w:val="nil"/>
          <w:right w:val="nil"/>
          <w:between w:val="nil"/>
        </w:pBdr>
        <w:spacing w:before="120" w:after="120"/>
        <w:jc w:val="both"/>
        <w:rPr>
          <w:rFonts w:eastAsia="Calibri"/>
          <w:b/>
          <w:sz w:val="22"/>
          <w:szCs w:val="22"/>
        </w:rPr>
      </w:pPr>
      <w:r w:rsidRPr="009073EB">
        <w:rPr>
          <w:rFonts w:eastAsia="Calibri"/>
          <w:b/>
          <w:sz w:val="22"/>
          <w:szCs w:val="22"/>
        </w:rPr>
        <w:t>Results</w:t>
      </w:r>
    </w:p>
    <w:p w14:paraId="0420D7C5" w14:textId="7D6FA0A5" w:rsidR="00F26FD7" w:rsidRPr="00F26FD7" w:rsidRDefault="00F26FD7" w:rsidP="00B07B2D">
      <w:pPr>
        <w:keepNext/>
        <w:pBdr>
          <w:top w:val="nil"/>
          <w:left w:val="nil"/>
          <w:bottom w:val="nil"/>
          <w:right w:val="nil"/>
          <w:between w:val="nil"/>
        </w:pBdr>
        <w:spacing w:before="120" w:after="120"/>
        <w:jc w:val="both"/>
        <w:rPr>
          <w:rFonts w:eastAsia="Calibri"/>
          <w:bCs/>
          <w:i/>
          <w:iCs/>
          <w:sz w:val="22"/>
          <w:szCs w:val="22"/>
        </w:rPr>
      </w:pPr>
      <w:r w:rsidRPr="00F26FD7">
        <w:rPr>
          <w:rFonts w:eastAsia="Calibri"/>
          <w:bCs/>
          <w:i/>
          <w:iCs/>
          <w:sz w:val="22"/>
          <w:szCs w:val="22"/>
        </w:rPr>
        <w:t>Influence of anchoring on incidence rates</w:t>
      </w:r>
    </w:p>
    <w:p w14:paraId="5E9995E7" w14:textId="27925C4B" w:rsidR="00B07B2D" w:rsidRPr="00797847" w:rsidRDefault="00B07B2D" w:rsidP="00DB6A71">
      <w:pPr>
        <w:keepNext/>
        <w:pBdr>
          <w:top w:val="nil"/>
          <w:left w:val="nil"/>
          <w:bottom w:val="nil"/>
          <w:right w:val="nil"/>
          <w:between w:val="nil"/>
        </w:pBdr>
        <w:spacing w:before="120" w:after="120"/>
        <w:contextualSpacing/>
        <w:jc w:val="both"/>
        <w:rPr>
          <w:sz w:val="22"/>
          <w:szCs w:val="22"/>
        </w:rPr>
      </w:pPr>
      <w:r w:rsidRPr="00B07B2D">
        <w:rPr>
          <w:rFonts w:eastAsia="Calibri"/>
          <w:bCs/>
          <w:sz w:val="22"/>
          <w:szCs w:val="22"/>
        </w:rPr>
        <w:t>While we observed high variation across data sources, the overall trends displayed great consistency.</w:t>
      </w:r>
      <w:r>
        <w:rPr>
          <w:rFonts w:eastAsia="Calibri"/>
          <w:bCs/>
          <w:sz w:val="22"/>
          <w:szCs w:val="22"/>
        </w:rPr>
        <w:t xml:space="preserve"> </w:t>
      </w:r>
      <w:r w:rsidRPr="00B07B2D">
        <w:rPr>
          <w:rFonts w:eastAsia="Calibri"/>
          <w:bCs/>
          <w:sz w:val="22"/>
          <w:szCs w:val="22"/>
        </w:rPr>
        <w:t>Incidence rates across all data sources and all conditions were highly sensitive to the choice of anchoring.</w:t>
      </w:r>
      <w:r w:rsidRPr="00B07B2D">
        <w:rPr>
          <w:bCs/>
          <w:sz w:val="22"/>
          <w:szCs w:val="22"/>
        </w:rPr>
        <w:t xml:space="preserve"> For a short time-at-risk (0-1 day) anchoring on a visit was associated with up to a 100-fold increase in incidence </w:t>
      </w:r>
      <w:r>
        <w:rPr>
          <w:sz w:val="22"/>
          <w:szCs w:val="22"/>
        </w:rPr>
        <w:t>when compared to anchoring on January 1</w:t>
      </w:r>
      <w:r w:rsidRPr="00B07B2D">
        <w:rPr>
          <w:sz w:val="22"/>
          <w:szCs w:val="22"/>
          <w:vertAlign w:val="superscript"/>
        </w:rPr>
        <w:t>st</w:t>
      </w:r>
      <w:r>
        <w:rPr>
          <w:sz w:val="22"/>
          <w:szCs w:val="22"/>
        </w:rPr>
        <w:t xml:space="preserve"> </w:t>
      </w:r>
      <w:r w:rsidRPr="4B12AFCF">
        <w:rPr>
          <w:sz w:val="22"/>
          <w:szCs w:val="22"/>
        </w:rPr>
        <w:t xml:space="preserve">(pooled IRR </w:t>
      </w:r>
      <w:r w:rsidRPr="4B12AFCF">
        <w:rPr>
          <w:color w:val="000000" w:themeColor="text1"/>
          <w:sz w:val="22"/>
          <w:szCs w:val="22"/>
        </w:rPr>
        <w:t>26.8 (95% CI 21.9-32.8)</w:t>
      </w:r>
      <w:r w:rsidR="00797847">
        <w:rPr>
          <w:color w:val="000000" w:themeColor="text1"/>
          <w:sz w:val="22"/>
          <w:szCs w:val="22"/>
        </w:rPr>
        <w:t>)</w:t>
      </w:r>
      <w:r>
        <w:rPr>
          <w:color w:val="000000" w:themeColor="text1"/>
          <w:sz w:val="22"/>
          <w:szCs w:val="22"/>
        </w:rPr>
        <w:t>. Acute conditions such as</w:t>
      </w:r>
      <w:r w:rsidRPr="4B12AFCF">
        <w:rPr>
          <w:color w:val="000000" w:themeColor="text1"/>
          <w:sz w:val="22"/>
          <w:szCs w:val="22"/>
        </w:rPr>
        <w:t xml:space="preserve"> anaphylaxis</w:t>
      </w:r>
      <w:r>
        <w:rPr>
          <w:color w:val="000000" w:themeColor="text1"/>
          <w:sz w:val="22"/>
          <w:szCs w:val="22"/>
        </w:rPr>
        <w:t xml:space="preserve"> were impacted the most (pooled IRR</w:t>
      </w:r>
      <w:r w:rsidRPr="4B12AFCF">
        <w:rPr>
          <w:color w:val="000000" w:themeColor="text1"/>
          <w:sz w:val="22"/>
          <w:szCs w:val="22"/>
        </w:rPr>
        <w:t xml:space="preserve"> </w:t>
      </w:r>
      <w:r w:rsidRPr="00305350">
        <w:rPr>
          <w:color w:val="000000" w:themeColor="text1"/>
          <w:sz w:val="22"/>
          <w:szCs w:val="22"/>
        </w:rPr>
        <w:t>47.6</w:t>
      </w:r>
      <w:r w:rsidRPr="4B12AFCF">
        <w:rPr>
          <w:color w:val="000000" w:themeColor="text1"/>
          <w:sz w:val="22"/>
          <w:szCs w:val="22"/>
        </w:rPr>
        <w:t xml:space="preserve"> (95% CI 32.8 – 69.1)</w:t>
      </w:r>
      <w:r w:rsidRPr="4B12AFCF">
        <w:rPr>
          <w:sz w:val="22"/>
          <w:szCs w:val="22"/>
        </w:rPr>
        <w:t>). The effect</w:t>
      </w:r>
      <w:r w:rsidR="00797847">
        <w:rPr>
          <w:sz w:val="22"/>
          <w:szCs w:val="22"/>
        </w:rPr>
        <w:t xml:space="preserve"> </w:t>
      </w:r>
      <w:r w:rsidRPr="4B12AFCF">
        <w:rPr>
          <w:sz w:val="22"/>
          <w:szCs w:val="22"/>
        </w:rPr>
        <w:t xml:space="preserve">was attenuated for longer times at risk </w:t>
      </w:r>
      <w:r w:rsidRPr="4B12AFCF">
        <w:rPr>
          <w:sz w:val="22"/>
          <w:szCs w:val="22"/>
        </w:rPr>
        <w:lastRenderedPageBreak/>
        <w:t xml:space="preserve">(Figure </w:t>
      </w:r>
      <w:r>
        <w:rPr>
          <w:sz w:val="22"/>
          <w:szCs w:val="22"/>
        </w:rPr>
        <w:t>1</w:t>
      </w:r>
      <w:r w:rsidRPr="4B12AFCF">
        <w:rPr>
          <w:sz w:val="22"/>
          <w:szCs w:val="22"/>
        </w:rPr>
        <w:t>)</w:t>
      </w:r>
      <w:r>
        <w:rPr>
          <w:sz w:val="22"/>
          <w:szCs w:val="22"/>
        </w:rPr>
        <w:t xml:space="preserve"> but was still present.</w:t>
      </w:r>
      <w:r w:rsidRPr="4B12AFCF">
        <w:rPr>
          <w:sz w:val="22"/>
          <w:szCs w:val="22"/>
        </w:rPr>
        <w:t xml:space="preserve"> For </w:t>
      </w:r>
      <w:r>
        <w:rPr>
          <w:sz w:val="22"/>
          <w:szCs w:val="22"/>
        </w:rPr>
        <w:t xml:space="preserve">example, for 1 – 28 days window, pooled </w:t>
      </w:r>
      <w:r w:rsidRPr="4B12AFCF">
        <w:rPr>
          <w:sz w:val="22"/>
          <w:szCs w:val="22"/>
        </w:rPr>
        <w:t>IRR was 1.4 (95% CI 1.3-1.5)</w:t>
      </w:r>
      <w:r>
        <w:rPr>
          <w:sz w:val="22"/>
          <w:szCs w:val="22"/>
        </w:rPr>
        <w:t>.</w:t>
      </w:r>
    </w:p>
    <w:p w14:paraId="4E900457" w14:textId="34EB77B2" w:rsidR="00DB6A71" w:rsidRDefault="00F26FD7" w:rsidP="00B07B2D">
      <w:pPr>
        <w:rPr>
          <w:b/>
          <w:bCs/>
        </w:rPr>
      </w:pPr>
      <w:r w:rsidRPr="009073EB">
        <w:rPr>
          <w:noProof/>
          <w:sz w:val="22"/>
          <w:szCs w:val="22"/>
        </w:rPr>
        <w:drawing>
          <wp:anchor distT="0" distB="0" distL="114300" distR="114300" simplePos="0" relativeHeight="251661312" behindDoc="0" locked="0" layoutInCell="1" allowOverlap="1" wp14:anchorId="7C8B95C5" wp14:editId="17B7D747">
            <wp:simplePos x="0" y="0"/>
            <wp:positionH relativeFrom="column">
              <wp:posOffset>-1905</wp:posOffset>
            </wp:positionH>
            <wp:positionV relativeFrom="paragraph">
              <wp:posOffset>163195</wp:posOffset>
            </wp:positionV>
            <wp:extent cx="6368415" cy="3498850"/>
            <wp:effectExtent l="0" t="0" r="0" b="6350"/>
            <wp:wrapTopAndBottom/>
            <wp:docPr id="5" name="Picture 5"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art&#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6368415" cy="3498850"/>
                    </a:xfrm>
                    <a:prstGeom prst="rect">
                      <a:avLst/>
                    </a:prstGeom>
                  </pic:spPr>
                </pic:pic>
              </a:graphicData>
            </a:graphic>
            <wp14:sizeRelH relativeFrom="page">
              <wp14:pctWidth>0</wp14:pctWidth>
            </wp14:sizeRelH>
            <wp14:sizeRelV relativeFrom="page">
              <wp14:pctHeight>0</wp14:pctHeight>
            </wp14:sizeRelV>
          </wp:anchor>
        </w:drawing>
      </w:r>
    </w:p>
    <w:p w14:paraId="3AAEB051" w14:textId="1ADA94ED" w:rsidR="00B07B2D" w:rsidRPr="00DB6A71" w:rsidRDefault="00B07B2D" w:rsidP="00B07B2D">
      <w:pPr>
        <w:rPr>
          <w:b/>
          <w:bCs/>
        </w:rPr>
      </w:pPr>
      <w:r w:rsidRPr="00DB6A71">
        <w:rPr>
          <w:b/>
          <w:bCs/>
        </w:rPr>
        <w:t xml:space="preserve">Figure 1. </w:t>
      </w:r>
      <w:r w:rsidRPr="00DB6A71">
        <w:t>Incidence rate ratio of incidence rate of outcomes when entering the cohort on a random visit versus entering on January 1</w:t>
      </w:r>
      <w:r w:rsidRPr="00DB6A71">
        <w:rPr>
          <w:vertAlign w:val="superscript"/>
        </w:rPr>
        <w:t>st</w:t>
      </w:r>
      <w:r w:rsidRPr="00DB6A71">
        <w:t xml:space="preserve"> in patients with a visit in the next year, time-at-risk 0-1 day, 1-28 days, 1-42 days, 1-90 days and 1-365 days.</w:t>
      </w:r>
    </w:p>
    <w:p w14:paraId="5AAEE1F3" w14:textId="77777777" w:rsidR="00B07B2D" w:rsidRPr="009073EB" w:rsidRDefault="00B07B2D" w:rsidP="00B07B2D">
      <w:pPr>
        <w:rPr>
          <w:sz w:val="22"/>
          <w:szCs w:val="22"/>
        </w:rPr>
      </w:pPr>
    </w:p>
    <w:p w14:paraId="46940679" w14:textId="474C3473" w:rsidR="00050909" w:rsidRPr="009073EB" w:rsidRDefault="00B07B2D" w:rsidP="00050909">
      <w:pPr>
        <w:rPr>
          <w:sz w:val="22"/>
          <w:szCs w:val="22"/>
        </w:rPr>
      </w:pPr>
      <w:r w:rsidRPr="72BCFAF7">
        <w:rPr>
          <w:sz w:val="22"/>
          <w:szCs w:val="22"/>
        </w:rPr>
        <w:t xml:space="preserve">We observed similar trends for anchoring on a well visit with the pooled </w:t>
      </w:r>
      <w:r>
        <w:rPr>
          <w:sz w:val="22"/>
          <w:szCs w:val="22"/>
        </w:rPr>
        <w:t>IRR</w:t>
      </w:r>
      <w:r w:rsidRPr="72BCFAF7">
        <w:rPr>
          <w:sz w:val="22"/>
          <w:szCs w:val="22"/>
        </w:rPr>
        <w:t xml:space="preserve"> </w:t>
      </w:r>
      <w:r>
        <w:rPr>
          <w:sz w:val="22"/>
          <w:szCs w:val="22"/>
        </w:rPr>
        <w:t xml:space="preserve">of </w:t>
      </w:r>
      <w:r w:rsidRPr="72BCFAF7">
        <w:rPr>
          <w:color w:val="000000" w:themeColor="text1"/>
          <w:sz w:val="22"/>
          <w:szCs w:val="22"/>
        </w:rPr>
        <w:t xml:space="preserve">1.21 (95% CI 1.11-1.31) </w:t>
      </w:r>
      <w:r>
        <w:rPr>
          <w:sz w:val="22"/>
          <w:szCs w:val="22"/>
        </w:rPr>
        <w:t>(Figure 2)</w:t>
      </w:r>
      <w:r w:rsidRPr="72BCFAF7">
        <w:rPr>
          <w:sz w:val="22"/>
          <w:szCs w:val="22"/>
        </w:rPr>
        <w:t>.</w:t>
      </w:r>
      <w:r w:rsidR="002128F4">
        <w:rPr>
          <w:sz w:val="22"/>
          <w:szCs w:val="22"/>
        </w:rPr>
        <w:t xml:space="preserve"> Overall, anchoring on a well visit was associated with higher incidence rates with several conditions (such as Bell’s palsy or narcolepsy) being highly sensitive. </w:t>
      </w:r>
    </w:p>
    <w:p w14:paraId="5E3E0EC1" w14:textId="3C510F0B" w:rsidR="00050909" w:rsidRPr="009073EB" w:rsidRDefault="00B07B2D">
      <w:pPr>
        <w:keepNext/>
        <w:pBdr>
          <w:top w:val="nil"/>
          <w:left w:val="nil"/>
          <w:bottom w:val="nil"/>
          <w:right w:val="nil"/>
          <w:between w:val="nil"/>
        </w:pBdr>
        <w:spacing w:before="120" w:after="120"/>
        <w:jc w:val="both"/>
        <w:rPr>
          <w:rFonts w:eastAsia="Calibri"/>
          <w:b/>
          <w:sz w:val="22"/>
          <w:szCs w:val="22"/>
        </w:rPr>
      </w:pPr>
      <w:r w:rsidRPr="00B07B2D">
        <w:rPr>
          <w:rFonts w:eastAsia="Calibri"/>
          <w:b/>
          <w:noProof/>
          <w:sz w:val="22"/>
          <w:szCs w:val="22"/>
        </w:rPr>
        <w:lastRenderedPageBreak/>
        <w:drawing>
          <wp:inline distT="0" distB="0" distL="0" distR="0" wp14:anchorId="0CBAE8CC" wp14:editId="026C8567">
            <wp:extent cx="6350400" cy="4109440"/>
            <wp:effectExtent l="0" t="0" r="0" b="5715"/>
            <wp:docPr id="1" name="Picture 1"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10;&#10;Description automatically generated"/>
                    <pic:cNvPicPr/>
                  </pic:nvPicPr>
                  <pic:blipFill>
                    <a:blip r:embed="rId9"/>
                    <a:stretch>
                      <a:fillRect/>
                    </a:stretch>
                  </pic:blipFill>
                  <pic:spPr>
                    <a:xfrm>
                      <a:off x="0" y="0"/>
                      <a:ext cx="6409639" cy="4147774"/>
                    </a:xfrm>
                    <a:prstGeom prst="rect">
                      <a:avLst/>
                    </a:prstGeom>
                  </pic:spPr>
                </pic:pic>
              </a:graphicData>
            </a:graphic>
          </wp:inline>
        </w:drawing>
      </w:r>
    </w:p>
    <w:p w14:paraId="4A0FE936" w14:textId="6175247A" w:rsidR="007708AC" w:rsidRPr="00DB6A71" w:rsidRDefault="00066C01">
      <w:pPr>
        <w:keepNext/>
        <w:pBdr>
          <w:top w:val="nil"/>
          <w:left w:val="nil"/>
          <w:bottom w:val="nil"/>
          <w:right w:val="nil"/>
          <w:between w:val="nil"/>
        </w:pBdr>
        <w:spacing w:before="120" w:after="120"/>
        <w:jc w:val="both"/>
      </w:pPr>
      <w:r w:rsidRPr="00DB6A71">
        <w:rPr>
          <w:b/>
          <w:bCs/>
        </w:rPr>
        <w:t xml:space="preserve">Figure </w:t>
      </w:r>
      <w:r w:rsidR="00AA3F40" w:rsidRPr="00DB6A71">
        <w:rPr>
          <w:b/>
          <w:bCs/>
        </w:rPr>
        <w:t>2</w:t>
      </w:r>
      <w:r w:rsidRPr="00DB6A71">
        <w:rPr>
          <w:b/>
          <w:bCs/>
        </w:rPr>
        <w:t xml:space="preserve">. </w:t>
      </w:r>
      <w:r w:rsidRPr="00DB6A71">
        <w:t xml:space="preserve">Incidence rate ratio of incidence rate of outcomes when entering the cohort on a </w:t>
      </w:r>
      <w:r w:rsidR="00AA3F40" w:rsidRPr="00DB6A71">
        <w:t>well</w:t>
      </w:r>
      <w:r w:rsidRPr="00DB6A71">
        <w:t xml:space="preserve"> visit versus entering on January 1</w:t>
      </w:r>
      <w:r w:rsidRPr="00DB6A71">
        <w:rPr>
          <w:vertAlign w:val="superscript"/>
        </w:rPr>
        <w:t>st</w:t>
      </w:r>
      <w:r w:rsidRPr="00DB6A71">
        <w:t xml:space="preserve"> in patients with a visit in the next year, time-at-risk 0-1 day, 1-28 days, 1-42 days, 1-90 days and 1-365 days.</w:t>
      </w:r>
    </w:p>
    <w:p w14:paraId="6605442B" w14:textId="6BCBCCB1" w:rsidR="009073EB" w:rsidRDefault="00DB6A71">
      <w:pPr>
        <w:keepNext/>
        <w:pBdr>
          <w:top w:val="nil"/>
          <w:left w:val="nil"/>
          <w:bottom w:val="nil"/>
          <w:right w:val="nil"/>
          <w:between w:val="nil"/>
        </w:pBdr>
        <w:spacing w:before="120" w:after="120"/>
        <w:jc w:val="both"/>
        <w:rPr>
          <w:sz w:val="22"/>
          <w:szCs w:val="22"/>
        </w:rPr>
      </w:pPr>
      <w:r>
        <w:rPr>
          <w:sz w:val="22"/>
          <w:szCs w:val="22"/>
        </w:rPr>
        <w:t>It is, therefore, highly important to specify an appropriate comparator anchoring event that represent the vaccination best, especially when such event is not clearly defined (as in unexposed</w:t>
      </w:r>
      <w:r w:rsidR="00797847">
        <w:rPr>
          <w:sz w:val="22"/>
          <w:szCs w:val="22"/>
        </w:rPr>
        <w:t>/</w:t>
      </w:r>
      <w:r>
        <w:rPr>
          <w:sz w:val="22"/>
          <w:szCs w:val="22"/>
        </w:rPr>
        <w:t>unvaccinated population).</w:t>
      </w:r>
    </w:p>
    <w:p w14:paraId="04789DB6" w14:textId="77777777" w:rsidR="00F26FD7" w:rsidRDefault="00F26FD7">
      <w:pPr>
        <w:keepNext/>
        <w:pBdr>
          <w:top w:val="nil"/>
          <w:left w:val="nil"/>
          <w:bottom w:val="nil"/>
          <w:right w:val="nil"/>
          <w:between w:val="nil"/>
        </w:pBdr>
        <w:spacing w:before="120" w:after="120"/>
        <w:jc w:val="both"/>
        <w:rPr>
          <w:sz w:val="22"/>
          <w:szCs w:val="22"/>
        </w:rPr>
      </w:pPr>
    </w:p>
    <w:p w14:paraId="4B16F99A" w14:textId="79EBF2BA" w:rsidR="00F26FD7" w:rsidRPr="00F26FD7" w:rsidRDefault="00F26FD7" w:rsidP="00F26FD7">
      <w:pPr>
        <w:keepNext/>
        <w:pBdr>
          <w:top w:val="nil"/>
          <w:left w:val="nil"/>
          <w:bottom w:val="nil"/>
          <w:right w:val="nil"/>
          <w:between w:val="nil"/>
        </w:pBdr>
        <w:spacing w:before="120" w:after="120"/>
        <w:jc w:val="both"/>
        <w:rPr>
          <w:rFonts w:eastAsia="Calibri"/>
          <w:bCs/>
          <w:i/>
          <w:iCs/>
          <w:sz w:val="22"/>
          <w:szCs w:val="22"/>
        </w:rPr>
      </w:pPr>
      <w:r w:rsidRPr="00F26FD7">
        <w:rPr>
          <w:rFonts w:eastAsia="Calibri"/>
          <w:bCs/>
          <w:i/>
          <w:iCs/>
          <w:sz w:val="22"/>
          <w:szCs w:val="22"/>
        </w:rPr>
        <w:t xml:space="preserve">Influence of anchoring on </w:t>
      </w:r>
      <w:r>
        <w:rPr>
          <w:rFonts w:eastAsia="Calibri"/>
          <w:bCs/>
          <w:i/>
          <w:iCs/>
          <w:sz w:val="22"/>
          <w:szCs w:val="22"/>
        </w:rPr>
        <w:t>baseline characteristics</w:t>
      </w:r>
    </w:p>
    <w:p w14:paraId="413C8AB2" w14:textId="0A0C6B39" w:rsidR="00BE3CDF" w:rsidRPr="007B1543" w:rsidRDefault="00BE3CDF">
      <w:pPr>
        <w:keepNext/>
        <w:pBdr>
          <w:top w:val="nil"/>
          <w:left w:val="nil"/>
          <w:bottom w:val="nil"/>
          <w:right w:val="nil"/>
          <w:between w:val="nil"/>
        </w:pBdr>
        <w:spacing w:before="120" w:after="120"/>
        <w:jc w:val="both"/>
        <w:rPr>
          <w:rFonts w:eastAsia="Calibri"/>
          <w:bCs/>
          <w:color w:val="000000"/>
          <w:sz w:val="22"/>
          <w:szCs w:val="22"/>
        </w:rPr>
      </w:pPr>
      <w:r w:rsidRPr="00BE3CDF">
        <w:rPr>
          <w:rFonts w:eastAsia="Calibri"/>
          <w:bCs/>
          <w:color w:val="000000"/>
          <w:sz w:val="22"/>
          <w:szCs w:val="22"/>
        </w:rPr>
        <w:t>When looking at the baseline characteristics,</w:t>
      </w:r>
      <w:r w:rsidR="007B1543">
        <w:rPr>
          <w:rFonts w:eastAsia="Calibri"/>
          <w:bCs/>
          <w:color w:val="000000"/>
          <w:sz w:val="22"/>
          <w:szCs w:val="22"/>
        </w:rPr>
        <w:t xml:space="preserve"> unvaccinated population had more events on day 0 than vaccinated population regardless of the anchoring event (Figure 3).</w:t>
      </w:r>
      <w:r w:rsidR="00DB6A71">
        <w:rPr>
          <w:rFonts w:eastAsia="Calibri"/>
          <w:bCs/>
          <w:color w:val="000000"/>
          <w:sz w:val="22"/>
          <w:szCs w:val="22"/>
        </w:rPr>
        <w:t xml:space="preserve"> Similarly, the effect attenuated with increased lookback </w:t>
      </w:r>
      <w:r w:rsidR="00DB6A71">
        <w:rPr>
          <w:rFonts w:eastAsia="Calibri"/>
          <w:bCs/>
          <w:color w:val="000000"/>
          <w:sz w:val="22"/>
          <w:szCs w:val="22"/>
        </w:rPr>
        <w:lastRenderedPageBreak/>
        <w:t xml:space="preserve">window but was still present. </w:t>
      </w:r>
    </w:p>
    <w:p w14:paraId="08D2B216" w14:textId="751C931C" w:rsidR="007B1543" w:rsidRDefault="00F26FD7">
      <w:pPr>
        <w:keepNext/>
        <w:pBdr>
          <w:top w:val="nil"/>
          <w:left w:val="nil"/>
          <w:bottom w:val="nil"/>
          <w:right w:val="nil"/>
          <w:between w:val="nil"/>
        </w:pBdr>
        <w:spacing w:before="120" w:after="120"/>
        <w:jc w:val="both"/>
        <w:rPr>
          <w:rFonts w:eastAsia="Calibri"/>
          <w:b/>
          <w:color w:val="000000"/>
          <w:sz w:val="22"/>
          <w:szCs w:val="22"/>
        </w:rPr>
      </w:pPr>
      <w:r w:rsidRPr="00F26FD7">
        <w:rPr>
          <w:noProof/>
        </w:rPr>
        <w:t xml:space="preserve"> </w:t>
      </w:r>
      <w:r w:rsidRPr="00F26FD7">
        <w:rPr>
          <w:rFonts w:eastAsia="Calibri"/>
          <w:b/>
          <w:noProof/>
          <w:color w:val="000000"/>
          <w:sz w:val="22"/>
          <w:szCs w:val="22"/>
        </w:rPr>
        <w:drawing>
          <wp:inline distT="0" distB="0" distL="0" distR="0" wp14:anchorId="21EF9661" wp14:editId="13AA9D21">
            <wp:extent cx="5947200" cy="3663310"/>
            <wp:effectExtent l="0" t="0" r="0" b="0"/>
            <wp:docPr id="6" name="Picture 6"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Chart, scatter chart&#10;&#10;Description automatically generated"/>
                    <pic:cNvPicPr/>
                  </pic:nvPicPr>
                  <pic:blipFill>
                    <a:blip r:embed="rId10"/>
                    <a:stretch>
                      <a:fillRect/>
                    </a:stretch>
                  </pic:blipFill>
                  <pic:spPr>
                    <a:xfrm>
                      <a:off x="0" y="0"/>
                      <a:ext cx="5954288" cy="3667676"/>
                    </a:xfrm>
                    <a:prstGeom prst="rect">
                      <a:avLst/>
                    </a:prstGeom>
                  </pic:spPr>
                </pic:pic>
              </a:graphicData>
            </a:graphic>
          </wp:inline>
        </w:drawing>
      </w:r>
    </w:p>
    <w:p w14:paraId="2A59219A" w14:textId="6A0F4723" w:rsidR="007B1543" w:rsidRPr="00F12A29" w:rsidRDefault="007B1543">
      <w:pPr>
        <w:keepNext/>
        <w:pBdr>
          <w:top w:val="nil"/>
          <w:left w:val="nil"/>
          <w:bottom w:val="nil"/>
          <w:right w:val="nil"/>
          <w:between w:val="nil"/>
        </w:pBdr>
        <w:spacing w:before="120" w:after="120"/>
        <w:jc w:val="both"/>
        <w:rPr>
          <w:rFonts w:eastAsia="Calibri"/>
          <w:b/>
          <w:color w:val="000000"/>
        </w:rPr>
      </w:pPr>
      <w:r w:rsidRPr="00F12A29">
        <w:rPr>
          <w:rFonts w:eastAsia="Calibri"/>
          <w:b/>
          <w:color w:val="000000"/>
        </w:rPr>
        <w:t>Figure 3.</w:t>
      </w:r>
      <w:r w:rsidR="00F12A29" w:rsidRPr="00F12A29">
        <w:rPr>
          <w:rFonts w:eastAsia="Calibri"/>
          <w:b/>
          <w:color w:val="000000"/>
        </w:rPr>
        <w:t xml:space="preserve"> </w:t>
      </w:r>
      <w:r w:rsidR="00F12A29" w:rsidRPr="00F12A29">
        <w:rPr>
          <w:rFonts w:eastAsia="Calibri"/>
          <w:bCs/>
          <w:color w:val="000000"/>
        </w:rPr>
        <w:t>Comparison of baseline characteristics in unvaccinated versus COVID-19 vaccinated patients in CUMC and Optum EHR. Each dot represents one covariate, blue – unvaccinated patients anchored on a date, yellow – unvaccinated patients anchored on a visit.</w:t>
      </w:r>
    </w:p>
    <w:p w14:paraId="0527D530" w14:textId="3159A33B" w:rsidR="007B1543" w:rsidRPr="00F12A29" w:rsidRDefault="00DB6A71">
      <w:pPr>
        <w:keepNext/>
        <w:pBdr>
          <w:top w:val="nil"/>
          <w:left w:val="nil"/>
          <w:bottom w:val="nil"/>
          <w:right w:val="nil"/>
          <w:between w:val="nil"/>
        </w:pBdr>
        <w:spacing w:before="120" w:after="120"/>
        <w:jc w:val="both"/>
        <w:rPr>
          <w:rFonts w:eastAsia="Calibri"/>
          <w:bCs/>
          <w:color w:val="000000"/>
          <w:sz w:val="22"/>
          <w:szCs w:val="22"/>
        </w:rPr>
      </w:pPr>
      <w:r w:rsidRPr="00F12A29">
        <w:rPr>
          <w:rFonts w:eastAsia="Calibri"/>
          <w:bCs/>
          <w:color w:val="000000"/>
          <w:sz w:val="22"/>
          <w:szCs w:val="22"/>
        </w:rPr>
        <w:t>Vaccinated patients had fewer lab tests (such as body weight, blood pressure or respiratory rate)</w:t>
      </w:r>
      <w:r w:rsidR="00F12A29">
        <w:rPr>
          <w:rFonts w:eastAsia="Calibri"/>
          <w:bCs/>
          <w:color w:val="000000"/>
          <w:sz w:val="22"/>
          <w:szCs w:val="22"/>
        </w:rPr>
        <w:t xml:space="preserve">, </w:t>
      </w:r>
      <w:r w:rsidRPr="00F12A29">
        <w:rPr>
          <w:rFonts w:eastAsia="Calibri"/>
          <w:bCs/>
          <w:color w:val="000000"/>
          <w:sz w:val="22"/>
          <w:szCs w:val="22"/>
        </w:rPr>
        <w:t xml:space="preserve">co-morbidities (diabetes, hyperlipidemia, dyspnea etc.) </w:t>
      </w:r>
      <w:r w:rsidR="00F12A29">
        <w:rPr>
          <w:rFonts w:eastAsia="Calibri"/>
          <w:bCs/>
          <w:color w:val="000000"/>
          <w:sz w:val="22"/>
          <w:szCs w:val="22"/>
        </w:rPr>
        <w:t xml:space="preserve">and visits </w:t>
      </w:r>
      <w:r w:rsidRPr="00F12A29">
        <w:rPr>
          <w:rFonts w:eastAsia="Calibri"/>
          <w:bCs/>
          <w:color w:val="000000"/>
          <w:sz w:val="22"/>
          <w:szCs w:val="22"/>
        </w:rPr>
        <w:t>on day 0 when compared to a random date or a random visit in unvaccinated population.</w:t>
      </w:r>
      <w:r w:rsidR="00F12A29">
        <w:rPr>
          <w:rFonts w:eastAsia="Calibri"/>
          <w:bCs/>
          <w:color w:val="000000"/>
          <w:sz w:val="22"/>
          <w:szCs w:val="22"/>
        </w:rPr>
        <w:t xml:space="preserve"> In patients vaccinated with an influenza vaccine (not shown here) compared to patients not vaccinated with influenza vaccine</w:t>
      </w:r>
      <w:r w:rsidR="00797847">
        <w:rPr>
          <w:rFonts w:eastAsia="Calibri"/>
          <w:bCs/>
          <w:color w:val="000000"/>
          <w:sz w:val="22"/>
          <w:szCs w:val="22"/>
        </w:rPr>
        <w:t xml:space="preserve"> </w:t>
      </w:r>
      <w:r w:rsidR="00F12A29">
        <w:rPr>
          <w:rFonts w:eastAsia="Calibri"/>
          <w:bCs/>
          <w:color w:val="000000"/>
          <w:sz w:val="22"/>
          <w:szCs w:val="22"/>
        </w:rPr>
        <w:t>the opposite trend</w:t>
      </w:r>
      <w:r w:rsidR="00797847">
        <w:rPr>
          <w:rFonts w:eastAsia="Calibri"/>
          <w:bCs/>
          <w:color w:val="000000"/>
          <w:sz w:val="22"/>
          <w:szCs w:val="22"/>
        </w:rPr>
        <w:t xml:space="preserve"> was observed</w:t>
      </w:r>
      <w:r w:rsidR="00F12A29">
        <w:rPr>
          <w:rFonts w:eastAsia="Calibri"/>
          <w:bCs/>
          <w:color w:val="000000"/>
          <w:sz w:val="22"/>
          <w:szCs w:val="22"/>
        </w:rPr>
        <w:t>: the former had more lab tests and co-morbidities on day 0 than unvaccinated patients.</w:t>
      </w:r>
    </w:p>
    <w:p w14:paraId="431CA6F3" w14:textId="77777777" w:rsidR="007B1543" w:rsidRDefault="007B1543">
      <w:pPr>
        <w:keepNext/>
        <w:pBdr>
          <w:top w:val="nil"/>
          <w:left w:val="nil"/>
          <w:bottom w:val="nil"/>
          <w:right w:val="nil"/>
          <w:between w:val="nil"/>
        </w:pBdr>
        <w:spacing w:before="120" w:after="120"/>
        <w:jc w:val="both"/>
        <w:rPr>
          <w:rFonts w:eastAsia="Calibri"/>
          <w:b/>
          <w:color w:val="000000"/>
          <w:sz w:val="22"/>
          <w:szCs w:val="22"/>
        </w:rPr>
      </w:pPr>
    </w:p>
    <w:p w14:paraId="0000000E" w14:textId="3E9FD904" w:rsidR="002814EC" w:rsidRDefault="003A2F2E">
      <w:pPr>
        <w:keepNext/>
        <w:pBdr>
          <w:top w:val="nil"/>
          <w:left w:val="nil"/>
          <w:bottom w:val="nil"/>
          <w:right w:val="nil"/>
          <w:between w:val="nil"/>
        </w:pBdr>
        <w:spacing w:before="120" w:after="120"/>
        <w:jc w:val="both"/>
        <w:rPr>
          <w:rFonts w:eastAsia="Calibri"/>
          <w:b/>
          <w:color w:val="000000"/>
          <w:sz w:val="22"/>
          <w:szCs w:val="22"/>
        </w:rPr>
      </w:pPr>
      <w:r w:rsidRPr="009073EB">
        <w:rPr>
          <w:rFonts w:eastAsia="Calibri"/>
          <w:b/>
          <w:color w:val="000000"/>
          <w:sz w:val="22"/>
          <w:szCs w:val="22"/>
        </w:rPr>
        <w:t>Conclusion</w:t>
      </w:r>
    </w:p>
    <w:p w14:paraId="15553484" w14:textId="6EA7F8CB" w:rsidR="00F12A29" w:rsidRPr="00F12A29" w:rsidRDefault="00F12A29">
      <w:pPr>
        <w:keepNext/>
        <w:pBdr>
          <w:top w:val="nil"/>
          <w:left w:val="nil"/>
          <w:bottom w:val="nil"/>
          <w:right w:val="nil"/>
          <w:between w:val="nil"/>
        </w:pBdr>
        <w:spacing w:before="120" w:after="120"/>
        <w:jc w:val="both"/>
        <w:rPr>
          <w:rFonts w:eastAsia="Calibri"/>
          <w:bCs/>
          <w:color w:val="000000"/>
          <w:sz w:val="22"/>
          <w:szCs w:val="22"/>
        </w:rPr>
      </w:pPr>
      <w:r w:rsidRPr="00F12A29">
        <w:rPr>
          <w:rFonts w:eastAsia="Calibri"/>
          <w:bCs/>
          <w:color w:val="000000"/>
          <w:sz w:val="22"/>
          <w:szCs w:val="22"/>
        </w:rPr>
        <w:t>Anchoring influences both baseline patient characteristics and incidence rates of conditions observed after the index date. It is important to select an anchoring that represents the target index date best. Balance on visit on day 0 should be assessed in any cohort study.</w:t>
      </w:r>
    </w:p>
    <w:p w14:paraId="00000010" w14:textId="469BBD1D" w:rsidR="002814EC" w:rsidRPr="009073EB" w:rsidRDefault="002814EC">
      <w:pPr>
        <w:pBdr>
          <w:top w:val="nil"/>
          <w:left w:val="nil"/>
          <w:bottom w:val="nil"/>
          <w:right w:val="nil"/>
          <w:between w:val="nil"/>
        </w:pBdr>
        <w:spacing w:after="120"/>
        <w:jc w:val="both"/>
        <w:rPr>
          <w:rFonts w:eastAsia="Calibri"/>
          <w:b/>
          <w:sz w:val="22"/>
          <w:szCs w:val="22"/>
        </w:rPr>
      </w:pPr>
    </w:p>
    <w:p w14:paraId="24226752" w14:textId="77777777" w:rsidR="00F91C8F" w:rsidRPr="009073EB" w:rsidRDefault="00F91C8F">
      <w:pPr>
        <w:pBdr>
          <w:top w:val="nil"/>
          <w:left w:val="nil"/>
          <w:bottom w:val="nil"/>
          <w:right w:val="nil"/>
          <w:between w:val="nil"/>
        </w:pBdr>
        <w:spacing w:after="120"/>
        <w:jc w:val="both"/>
        <w:rPr>
          <w:rFonts w:eastAsia="Calibri"/>
          <w:b/>
          <w:sz w:val="22"/>
          <w:szCs w:val="22"/>
        </w:rPr>
      </w:pPr>
    </w:p>
    <w:p w14:paraId="00000011" w14:textId="39F06563" w:rsidR="002814EC" w:rsidRPr="009073EB" w:rsidRDefault="003A2F2E">
      <w:pPr>
        <w:keepNext/>
        <w:pBdr>
          <w:top w:val="nil"/>
          <w:left w:val="nil"/>
          <w:bottom w:val="nil"/>
          <w:right w:val="nil"/>
          <w:between w:val="nil"/>
        </w:pBdr>
        <w:spacing w:before="120" w:after="120"/>
        <w:jc w:val="center"/>
        <w:rPr>
          <w:rFonts w:eastAsia="Calibri"/>
          <w:b/>
          <w:color w:val="000000"/>
          <w:sz w:val="22"/>
          <w:szCs w:val="22"/>
        </w:rPr>
      </w:pPr>
      <w:r w:rsidRPr="009073EB">
        <w:rPr>
          <w:rFonts w:eastAsia="Calibri"/>
          <w:b/>
          <w:color w:val="000000"/>
          <w:sz w:val="22"/>
          <w:szCs w:val="22"/>
        </w:rPr>
        <w:t>References</w:t>
      </w:r>
    </w:p>
    <w:p w14:paraId="3C6C13FA" w14:textId="77777777" w:rsidR="00496276" w:rsidRPr="00496276" w:rsidRDefault="00496276" w:rsidP="00496276">
      <w:pPr>
        <w:pStyle w:val="Bibliography"/>
        <w:rPr>
          <w:sz w:val="22"/>
        </w:rPr>
      </w:pPr>
      <w:r>
        <w:rPr>
          <w:rFonts w:eastAsia="Calibri"/>
          <w:sz w:val="22"/>
          <w:szCs w:val="22"/>
        </w:rPr>
        <w:fldChar w:fldCharType="begin"/>
      </w:r>
      <w:r>
        <w:rPr>
          <w:rFonts w:eastAsia="Calibri"/>
          <w:sz w:val="22"/>
          <w:szCs w:val="22"/>
        </w:rPr>
        <w:instrText xml:space="preserve"> ADDIN ZOTERO_BIBL {"uncited":[],"omitted":[],"custom":[]} CSL_BIBLIOGRAPHY </w:instrText>
      </w:r>
      <w:r>
        <w:rPr>
          <w:rFonts w:eastAsia="Calibri"/>
          <w:sz w:val="22"/>
          <w:szCs w:val="22"/>
        </w:rPr>
        <w:fldChar w:fldCharType="separate"/>
      </w:r>
      <w:r w:rsidRPr="00496276">
        <w:rPr>
          <w:sz w:val="22"/>
        </w:rPr>
        <w:t xml:space="preserve">1. </w:t>
      </w:r>
      <w:r w:rsidRPr="00496276">
        <w:rPr>
          <w:sz w:val="22"/>
        </w:rPr>
        <w:tab/>
        <w:t xml:space="preserve">Li X, Ostropolets A, Makadia R, Shoaibi A, Rao G, Sena AG, et al. Characterising the background incidence rates of adverse events of special interest for covid-19 vaccines in eight countries: multinational network cohort study. BMJ. 2021 Jun 14;n1435. </w:t>
      </w:r>
    </w:p>
    <w:p w14:paraId="39C4A94A" w14:textId="70A156B6" w:rsidR="002F5872" w:rsidRPr="004D6965" w:rsidRDefault="00496276" w:rsidP="004D6965">
      <w:pPr>
        <w:rPr>
          <w:rFonts w:eastAsia="Calibri"/>
        </w:rPr>
      </w:pPr>
      <w:r>
        <w:rPr>
          <w:rFonts w:eastAsia="Calibri"/>
        </w:rPr>
        <w:fldChar w:fldCharType="end"/>
      </w:r>
    </w:p>
    <w:sectPr w:rsidR="002F5872" w:rsidRPr="004D6965" w:rsidSect="00575657">
      <w:headerReference w:type="even" r:id="rId11"/>
      <w:headerReference w:type="default" r:id="rId12"/>
      <w:footerReference w:type="even" r:id="rId13"/>
      <w:footerReference w:type="default" r:id="rId14"/>
      <w:headerReference w:type="first" r:id="rId15"/>
      <w:footerReference w:type="first" r:id="rId16"/>
      <w:pgSz w:w="12240" w:h="15840"/>
      <w:pgMar w:top="1440" w:right="1080" w:bottom="1440" w:left="1080" w:header="0"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2135A7" w14:textId="77777777" w:rsidR="00C60228" w:rsidRDefault="00C60228">
      <w:r>
        <w:separator/>
      </w:r>
    </w:p>
  </w:endnote>
  <w:endnote w:type="continuationSeparator" w:id="0">
    <w:p w14:paraId="496AC003" w14:textId="77777777" w:rsidR="00C60228" w:rsidRDefault="00C602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Georgia">
    <w:altName w:val="﷽﷽﷽﷽﷽﷽﷽﷽"/>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B279D2" w14:textId="77777777" w:rsidR="00A53792" w:rsidRDefault="00A5379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14" w14:textId="77777777" w:rsidR="002814EC" w:rsidRDefault="002814EC">
    <w:pPr>
      <w:pBdr>
        <w:top w:val="nil"/>
        <w:left w:val="nil"/>
        <w:bottom w:val="nil"/>
        <w:right w:val="nil"/>
        <w:between w:val="nil"/>
      </w:pBdr>
      <w:tabs>
        <w:tab w:val="center" w:pos="4320"/>
        <w:tab w:val="right" w:pos="8640"/>
      </w:tabs>
      <w:jc w:val="right"/>
      <w:rPr>
        <w:color w:val="000000"/>
      </w:rPr>
    </w:pPr>
  </w:p>
  <w:p w14:paraId="00000015" w14:textId="77777777" w:rsidR="002814EC" w:rsidRDefault="002814EC">
    <w:pPr>
      <w:pBdr>
        <w:top w:val="nil"/>
        <w:left w:val="nil"/>
        <w:bottom w:val="nil"/>
        <w:right w:val="nil"/>
        <w:between w:val="nil"/>
      </w:pBdr>
      <w:tabs>
        <w:tab w:val="center" w:pos="4320"/>
        <w:tab w:val="right" w:pos="8640"/>
      </w:tabs>
      <w:spacing w:after="720"/>
      <w:ind w:right="360"/>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F5AE71" w14:textId="77777777" w:rsidR="00A53792" w:rsidRDefault="00A5379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E29155" w14:textId="77777777" w:rsidR="00C60228" w:rsidRDefault="00C60228">
      <w:r>
        <w:separator/>
      </w:r>
    </w:p>
  </w:footnote>
  <w:footnote w:type="continuationSeparator" w:id="0">
    <w:p w14:paraId="13D062AC" w14:textId="77777777" w:rsidR="00C60228" w:rsidRDefault="00C6022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9982BE" w14:textId="77777777" w:rsidR="00A53792" w:rsidRDefault="00A5379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143DFD" w14:textId="77777777" w:rsidR="00A53792" w:rsidRDefault="00A5379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6FE380" w14:textId="77777777" w:rsidR="00A53792" w:rsidRDefault="00A5379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D97BD0"/>
    <w:multiLevelType w:val="hybridMultilevel"/>
    <w:tmpl w:val="596E6276"/>
    <w:lvl w:ilvl="0" w:tplc="FFFFFFFF">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D8C68B1"/>
    <w:multiLevelType w:val="hybridMultilevel"/>
    <w:tmpl w:val="565EE2DA"/>
    <w:lvl w:ilvl="0" w:tplc="FFFFFFFF">
      <w:start w:val="2020"/>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8C32459"/>
    <w:multiLevelType w:val="multilevel"/>
    <w:tmpl w:val="FFFFFFFF"/>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7"/>
  <w:displayBackgroundShape/>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814EC"/>
    <w:rsid w:val="00050909"/>
    <w:rsid w:val="00066C01"/>
    <w:rsid w:val="000A2A22"/>
    <w:rsid w:val="000C24CE"/>
    <w:rsid w:val="00104E1D"/>
    <w:rsid w:val="00180ACB"/>
    <w:rsid w:val="001E614D"/>
    <w:rsid w:val="002128F4"/>
    <w:rsid w:val="00243729"/>
    <w:rsid w:val="002814EC"/>
    <w:rsid w:val="002F5872"/>
    <w:rsid w:val="003A2F2E"/>
    <w:rsid w:val="00496276"/>
    <w:rsid w:val="004D6965"/>
    <w:rsid w:val="004E7D37"/>
    <w:rsid w:val="005441D0"/>
    <w:rsid w:val="00575657"/>
    <w:rsid w:val="0063016B"/>
    <w:rsid w:val="00683EB6"/>
    <w:rsid w:val="006A2D68"/>
    <w:rsid w:val="00735C9A"/>
    <w:rsid w:val="007708AC"/>
    <w:rsid w:val="00797847"/>
    <w:rsid w:val="007B1543"/>
    <w:rsid w:val="00843CD3"/>
    <w:rsid w:val="00905AE9"/>
    <w:rsid w:val="009073EB"/>
    <w:rsid w:val="00A53792"/>
    <w:rsid w:val="00A74236"/>
    <w:rsid w:val="00AA3F40"/>
    <w:rsid w:val="00AB6B50"/>
    <w:rsid w:val="00B0120E"/>
    <w:rsid w:val="00B07B2D"/>
    <w:rsid w:val="00B300FF"/>
    <w:rsid w:val="00B50D6E"/>
    <w:rsid w:val="00BE3CDF"/>
    <w:rsid w:val="00C60228"/>
    <w:rsid w:val="00C621EF"/>
    <w:rsid w:val="00CA498E"/>
    <w:rsid w:val="00CB6ECC"/>
    <w:rsid w:val="00CE5D82"/>
    <w:rsid w:val="00D2002C"/>
    <w:rsid w:val="00DB6A71"/>
    <w:rsid w:val="00DE22C2"/>
    <w:rsid w:val="00DF29B4"/>
    <w:rsid w:val="00E041A3"/>
    <w:rsid w:val="00E2032A"/>
    <w:rsid w:val="00E3427D"/>
    <w:rsid w:val="00EB3D45"/>
    <w:rsid w:val="00EE1D99"/>
    <w:rsid w:val="00EE4E50"/>
    <w:rsid w:val="00F12A29"/>
    <w:rsid w:val="00F26FD7"/>
    <w:rsid w:val="00F76881"/>
    <w:rsid w:val="00F8320D"/>
    <w:rsid w:val="00F91C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28E6535"/>
  <w15:docId w15:val="{06A7EABB-3B4A-A847-B141-F455D9D86E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pBdr>
        <w:top w:val="nil"/>
        <w:left w:val="nil"/>
        <w:bottom w:val="nil"/>
        <w:right w:val="nil"/>
        <w:between w:val="nil"/>
      </w:pBdr>
      <w:spacing w:before="240" w:after="120"/>
      <w:jc w:val="center"/>
      <w:outlineLvl w:val="0"/>
    </w:pPr>
    <w:rPr>
      <w:b/>
      <w:color w:val="000000"/>
    </w:rPr>
  </w:style>
  <w:style w:type="paragraph" w:styleId="Heading2">
    <w:name w:val="heading 2"/>
    <w:basedOn w:val="Normal"/>
    <w:next w:val="Normal"/>
    <w:uiPriority w:val="9"/>
    <w:semiHidden/>
    <w:unhideWhenUsed/>
    <w:qFormat/>
    <w:pPr>
      <w:keepNext/>
      <w:pBdr>
        <w:top w:val="nil"/>
        <w:left w:val="nil"/>
        <w:bottom w:val="nil"/>
        <w:right w:val="nil"/>
        <w:between w:val="nil"/>
      </w:pBdr>
      <w:jc w:val="center"/>
      <w:outlineLvl w:val="1"/>
    </w:pPr>
    <w:rPr>
      <w:b/>
      <w:color w:val="000000"/>
      <w:sz w:val="24"/>
      <w:szCs w:val="24"/>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pBdr>
        <w:top w:val="nil"/>
        <w:left w:val="nil"/>
        <w:bottom w:val="nil"/>
        <w:right w:val="nil"/>
        <w:between w:val="nil"/>
      </w:pBdr>
      <w:jc w:val="center"/>
      <w:outlineLvl w:val="4"/>
    </w:pPr>
    <w:rPr>
      <w:b/>
      <w:color w:val="000000"/>
    </w:rPr>
  </w:style>
  <w:style w:type="paragraph" w:styleId="Heading6">
    <w:name w:val="heading 6"/>
    <w:basedOn w:val="Normal"/>
    <w:next w:val="Normal"/>
    <w:uiPriority w:val="9"/>
    <w:semiHidden/>
    <w:unhideWhenUsed/>
    <w:qFormat/>
    <w:pPr>
      <w:keepNext/>
      <w:keepLines/>
      <w:spacing w:before="200" w:after="4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Header">
    <w:name w:val="header"/>
    <w:basedOn w:val="Normal"/>
    <w:link w:val="HeaderChar"/>
    <w:uiPriority w:val="99"/>
    <w:unhideWhenUsed/>
    <w:rsid w:val="00A53792"/>
    <w:pPr>
      <w:tabs>
        <w:tab w:val="center" w:pos="4680"/>
        <w:tab w:val="right" w:pos="9360"/>
      </w:tabs>
    </w:pPr>
  </w:style>
  <w:style w:type="character" w:customStyle="1" w:styleId="HeaderChar">
    <w:name w:val="Header Char"/>
    <w:basedOn w:val="DefaultParagraphFont"/>
    <w:link w:val="Header"/>
    <w:uiPriority w:val="99"/>
    <w:rsid w:val="00A53792"/>
  </w:style>
  <w:style w:type="paragraph" w:styleId="Footer">
    <w:name w:val="footer"/>
    <w:basedOn w:val="Normal"/>
    <w:link w:val="FooterChar"/>
    <w:uiPriority w:val="99"/>
    <w:unhideWhenUsed/>
    <w:rsid w:val="00A53792"/>
    <w:pPr>
      <w:tabs>
        <w:tab w:val="center" w:pos="4680"/>
        <w:tab w:val="right" w:pos="9360"/>
      </w:tabs>
    </w:pPr>
  </w:style>
  <w:style w:type="character" w:customStyle="1" w:styleId="FooterChar">
    <w:name w:val="Footer Char"/>
    <w:basedOn w:val="DefaultParagraphFont"/>
    <w:link w:val="Footer"/>
    <w:uiPriority w:val="99"/>
    <w:rsid w:val="00A53792"/>
  </w:style>
  <w:style w:type="paragraph" w:styleId="ListParagraph">
    <w:name w:val="List Paragraph"/>
    <w:basedOn w:val="Normal"/>
    <w:uiPriority w:val="34"/>
    <w:qFormat/>
    <w:rsid w:val="00B50D6E"/>
    <w:pPr>
      <w:ind w:left="720"/>
      <w:contextualSpacing/>
    </w:pPr>
  </w:style>
  <w:style w:type="character" w:styleId="CommentReference">
    <w:name w:val="annotation reference"/>
    <w:basedOn w:val="DefaultParagraphFont"/>
    <w:uiPriority w:val="99"/>
    <w:semiHidden/>
    <w:unhideWhenUsed/>
    <w:rsid w:val="00E041A3"/>
    <w:rPr>
      <w:sz w:val="16"/>
      <w:szCs w:val="16"/>
    </w:rPr>
  </w:style>
  <w:style w:type="paragraph" w:styleId="CommentText">
    <w:name w:val="annotation text"/>
    <w:basedOn w:val="Normal"/>
    <w:link w:val="CommentTextChar"/>
    <w:uiPriority w:val="99"/>
    <w:semiHidden/>
    <w:unhideWhenUsed/>
    <w:rsid w:val="00E041A3"/>
    <w:pPr>
      <w:widowControl/>
    </w:pPr>
    <w:rPr>
      <w:rFonts w:asciiTheme="minorHAnsi" w:eastAsiaTheme="minorHAnsi" w:hAnsiTheme="minorHAnsi" w:cstheme="minorBidi"/>
    </w:rPr>
  </w:style>
  <w:style w:type="character" w:customStyle="1" w:styleId="CommentTextChar">
    <w:name w:val="Comment Text Char"/>
    <w:basedOn w:val="DefaultParagraphFont"/>
    <w:link w:val="CommentText"/>
    <w:uiPriority w:val="99"/>
    <w:semiHidden/>
    <w:rsid w:val="00E041A3"/>
    <w:rPr>
      <w:rFonts w:asciiTheme="minorHAnsi" w:eastAsiaTheme="minorHAnsi" w:hAnsiTheme="minorHAnsi" w:cstheme="minorBidi"/>
    </w:rPr>
  </w:style>
  <w:style w:type="paragraph" w:styleId="CommentSubject">
    <w:name w:val="annotation subject"/>
    <w:basedOn w:val="CommentText"/>
    <w:next w:val="CommentText"/>
    <w:link w:val="CommentSubjectChar"/>
    <w:uiPriority w:val="99"/>
    <w:semiHidden/>
    <w:unhideWhenUsed/>
    <w:rsid w:val="009073EB"/>
    <w:pPr>
      <w:widowControl w:val="0"/>
    </w:pPr>
    <w:rPr>
      <w:rFonts w:ascii="Times New Roman" w:eastAsia="Times New Roman" w:hAnsi="Times New Roman" w:cs="Times New Roman"/>
      <w:b/>
      <w:bCs/>
    </w:rPr>
  </w:style>
  <w:style w:type="character" w:customStyle="1" w:styleId="CommentSubjectChar">
    <w:name w:val="Comment Subject Char"/>
    <w:basedOn w:val="CommentTextChar"/>
    <w:link w:val="CommentSubject"/>
    <w:uiPriority w:val="99"/>
    <w:semiHidden/>
    <w:rsid w:val="009073EB"/>
    <w:rPr>
      <w:rFonts w:asciiTheme="minorHAnsi" w:eastAsiaTheme="minorHAnsi" w:hAnsiTheme="minorHAnsi" w:cstheme="minorBidi"/>
      <w:b/>
      <w:bCs/>
    </w:rPr>
  </w:style>
  <w:style w:type="paragraph" w:styleId="Bibliography">
    <w:name w:val="Bibliography"/>
    <w:basedOn w:val="Normal"/>
    <w:next w:val="Normal"/>
    <w:uiPriority w:val="37"/>
    <w:unhideWhenUsed/>
    <w:rsid w:val="00496276"/>
    <w:pPr>
      <w:tabs>
        <w:tab w:val="left" w:pos="380"/>
      </w:tabs>
      <w:spacing w:after="240"/>
      <w:ind w:left="384" w:hanging="384"/>
    </w:pPr>
  </w:style>
  <w:style w:type="character" w:customStyle="1" w:styleId="apple-converted-space">
    <w:name w:val="apple-converted-space"/>
    <w:basedOn w:val="DefaultParagraphFont"/>
    <w:rsid w:val="002F58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9482101">
      <w:bodyDiv w:val="1"/>
      <w:marLeft w:val="0"/>
      <w:marRight w:val="0"/>
      <w:marTop w:val="0"/>
      <w:marBottom w:val="0"/>
      <w:divBdr>
        <w:top w:val="none" w:sz="0" w:space="0" w:color="auto"/>
        <w:left w:val="none" w:sz="0" w:space="0" w:color="auto"/>
        <w:bottom w:val="none" w:sz="0" w:space="0" w:color="auto"/>
        <w:right w:val="none" w:sz="0" w:space="0" w:color="auto"/>
      </w:divBdr>
      <w:divsChild>
        <w:div w:id="4784776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17160210">
              <w:marLeft w:val="0"/>
              <w:marRight w:val="0"/>
              <w:marTop w:val="0"/>
              <w:marBottom w:val="0"/>
              <w:divBdr>
                <w:top w:val="none" w:sz="0" w:space="0" w:color="auto"/>
                <w:left w:val="none" w:sz="0" w:space="0" w:color="auto"/>
                <w:bottom w:val="none" w:sz="0" w:space="0" w:color="auto"/>
                <w:right w:val="none" w:sz="0" w:space="0" w:color="auto"/>
              </w:divBdr>
              <w:divsChild>
                <w:div w:id="2003972601">
                  <w:marLeft w:val="0"/>
                  <w:marRight w:val="0"/>
                  <w:marTop w:val="0"/>
                  <w:marBottom w:val="0"/>
                  <w:divBdr>
                    <w:top w:val="none" w:sz="0" w:space="0" w:color="auto"/>
                    <w:left w:val="none" w:sz="0" w:space="0" w:color="auto"/>
                    <w:bottom w:val="none" w:sz="0" w:space="0" w:color="auto"/>
                    <w:right w:val="none" w:sz="0" w:space="0" w:color="auto"/>
                  </w:divBdr>
                </w:div>
                <w:div w:id="953170871">
                  <w:marLeft w:val="0"/>
                  <w:marRight w:val="0"/>
                  <w:marTop w:val="0"/>
                  <w:marBottom w:val="0"/>
                  <w:divBdr>
                    <w:top w:val="none" w:sz="0" w:space="0" w:color="auto"/>
                    <w:left w:val="none" w:sz="0" w:space="0" w:color="auto"/>
                    <w:bottom w:val="none" w:sz="0" w:space="0" w:color="auto"/>
                    <w:right w:val="none" w:sz="0" w:space="0" w:color="auto"/>
                  </w:divBdr>
                </w:div>
                <w:div w:id="2101757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27FC09-0AD5-A84D-932E-2166843858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116</TotalTime>
  <Pages>4</Pages>
  <Words>1636</Words>
  <Characters>9328</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Ostropolets, Anna</cp:lastModifiedBy>
  <cp:revision>44</cp:revision>
  <dcterms:created xsi:type="dcterms:W3CDTF">2021-06-10T23:40:00Z</dcterms:created>
  <dcterms:modified xsi:type="dcterms:W3CDTF">2021-08-27T02:26:00Z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zotero-version="5.0.96.2"&gt;&lt;session id="66UftU87"/&gt;&lt;style id="http://www.zotero.org/styles/vancouver" locale="en-US" hasBibliography="1" bibliographyStyleHasBeenSet="1"/&gt;&lt;prefs&gt;&lt;pref name="fieldType" value="Field"/&gt;&lt;/prefs&gt;&lt;/data&gt;</vt:lpwstr>
  </property>
</Properties>
</file>