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7855729" w14:textId="77777777" w:rsidR="00402B21" w:rsidRPr="00367DF9" w:rsidRDefault="00402B21" w:rsidP="00402B21">
      <w:pPr>
        <w:pBdr>
          <w:top w:val="nil"/>
          <w:left w:val="nil"/>
          <w:bottom w:val="nil"/>
          <w:right w:val="nil"/>
          <w:between w:val="nil"/>
        </w:pBdr>
        <w:jc w:val="center"/>
        <w:rPr>
          <w:rFonts w:ascii="Calibri" w:eastAsia="Calibri" w:hAnsi="Calibri" w:cs="Calibri"/>
          <w:b/>
          <w:color w:val="000000"/>
          <w:sz w:val="22"/>
          <w:szCs w:val="22"/>
        </w:rPr>
      </w:pPr>
      <w:r w:rsidRPr="00367DF9">
        <w:rPr>
          <w:rFonts w:ascii="Calibri" w:eastAsia="Calibri" w:hAnsi="Calibri" w:cs="Calibri"/>
          <w:b/>
          <w:bCs/>
          <w:i/>
          <w:iCs/>
          <w:color w:val="000000"/>
          <w:sz w:val="22"/>
          <w:szCs w:val="22"/>
        </w:rPr>
        <w:t>Predicting complications after surgery for colorectal cancer</w:t>
      </w:r>
      <w:r w:rsidRPr="00367DF9">
        <w:rPr>
          <w:rFonts w:ascii="Calibri" w:eastAsia="Calibri" w:hAnsi="Calibri" w:cs="Calibri"/>
          <w:b/>
          <w:i/>
          <w:iCs/>
          <w:color w:val="000000"/>
          <w:sz w:val="22"/>
          <w:szCs w:val="22"/>
        </w:rPr>
        <w:br/>
        <w:t xml:space="preserve">Identifying patients at risk </w:t>
      </w:r>
    </w:p>
    <w:p w14:paraId="6137BCFD" w14:textId="164CD11F" w:rsidR="00402B21" w:rsidRPr="00367DF9" w:rsidRDefault="00402B21" w:rsidP="4FB50D9F">
      <w:pPr>
        <w:pBdr>
          <w:top w:val="nil"/>
          <w:left w:val="nil"/>
          <w:bottom w:val="nil"/>
          <w:right w:val="nil"/>
          <w:between w:val="nil"/>
        </w:pBdr>
        <w:spacing w:after="240"/>
        <w:jc w:val="center"/>
        <w:rPr>
          <w:rFonts w:ascii="Calibri" w:eastAsia="Calibri" w:hAnsi="Calibri" w:cs="Calibri"/>
          <w:sz w:val="22"/>
          <w:szCs w:val="22"/>
        </w:rPr>
      </w:pPr>
      <w:r w:rsidRPr="4FB50D9F">
        <w:rPr>
          <w:rFonts w:ascii="Calibri" w:eastAsia="Calibri" w:hAnsi="Calibri" w:cs="Calibri"/>
          <w:sz w:val="22"/>
          <w:szCs w:val="22"/>
        </w:rPr>
        <w:t xml:space="preserve">Viviane Lin, Adamantia </w:t>
      </w:r>
      <w:proofErr w:type="spellStart"/>
      <w:r w:rsidRPr="4FB50D9F">
        <w:rPr>
          <w:rFonts w:ascii="Calibri" w:eastAsia="Calibri" w:hAnsi="Calibri" w:cs="Calibri"/>
          <w:sz w:val="22"/>
          <w:szCs w:val="22"/>
        </w:rPr>
        <w:t>Tsouchnika</w:t>
      </w:r>
      <w:proofErr w:type="spellEnd"/>
      <w:r w:rsidRPr="4FB50D9F">
        <w:rPr>
          <w:rFonts w:ascii="Calibri" w:eastAsia="Calibri" w:hAnsi="Calibri" w:cs="Calibri"/>
          <w:sz w:val="22"/>
          <w:szCs w:val="22"/>
        </w:rPr>
        <w:t xml:space="preserve">, </w:t>
      </w:r>
      <w:proofErr w:type="spellStart"/>
      <w:r w:rsidRPr="4FB50D9F">
        <w:rPr>
          <w:rFonts w:ascii="Calibri" w:eastAsia="Calibri" w:hAnsi="Calibri" w:cs="Calibri"/>
          <w:sz w:val="22"/>
          <w:szCs w:val="22"/>
        </w:rPr>
        <w:t>Eldar</w:t>
      </w:r>
      <w:proofErr w:type="spellEnd"/>
      <w:r w:rsidRPr="4FB50D9F">
        <w:rPr>
          <w:rFonts w:ascii="Calibri" w:eastAsia="Calibri" w:hAnsi="Calibri" w:cs="Calibri"/>
          <w:sz w:val="22"/>
          <w:szCs w:val="22"/>
        </w:rPr>
        <w:t xml:space="preserve"> </w:t>
      </w:r>
      <w:proofErr w:type="spellStart"/>
      <w:r w:rsidRPr="4FB50D9F">
        <w:rPr>
          <w:rFonts w:ascii="Calibri" w:eastAsia="Calibri" w:hAnsi="Calibri" w:cs="Calibri"/>
          <w:sz w:val="22"/>
          <w:szCs w:val="22"/>
        </w:rPr>
        <w:t>Allakhverdiiev</w:t>
      </w:r>
      <w:proofErr w:type="spellEnd"/>
      <w:r w:rsidRPr="4FB50D9F">
        <w:rPr>
          <w:rFonts w:ascii="Calibri" w:eastAsia="Calibri" w:hAnsi="Calibri" w:cs="Calibri"/>
          <w:sz w:val="22"/>
          <w:szCs w:val="22"/>
        </w:rPr>
        <w:t xml:space="preserve">, Andreas Weinberger Rosen, </w:t>
      </w:r>
      <w:proofErr w:type="spellStart"/>
      <w:r w:rsidRPr="4FB50D9F">
        <w:rPr>
          <w:rFonts w:ascii="Calibri" w:eastAsia="Calibri" w:hAnsi="Calibri" w:cs="Calibri"/>
          <w:sz w:val="22"/>
          <w:szCs w:val="22"/>
        </w:rPr>
        <w:t>Mikail</w:t>
      </w:r>
      <w:proofErr w:type="spellEnd"/>
      <w:r w:rsidRPr="4FB50D9F">
        <w:rPr>
          <w:rFonts w:ascii="Calibri" w:eastAsia="Calibri" w:hAnsi="Calibri" w:cs="Calibri"/>
          <w:sz w:val="22"/>
          <w:szCs w:val="22"/>
        </w:rPr>
        <w:t xml:space="preserve"> </w:t>
      </w:r>
      <w:proofErr w:type="spellStart"/>
      <w:r w:rsidRPr="4FB50D9F">
        <w:rPr>
          <w:rFonts w:ascii="Calibri" w:eastAsia="Calibri" w:hAnsi="Calibri" w:cs="Calibri"/>
          <w:sz w:val="22"/>
          <w:szCs w:val="22"/>
        </w:rPr>
        <w:t>Gögenur</w:t>
      </w:r>
      <w:proofErr w:type="spellEnd"/>
      <w:r w:rsidRPr="4FB50D9F">
        <w:rPr>
          <w:rFonts w:ascii="Calibri" w:eastAsia="Calibri" w:hAnsi="Calibri" w:cs="Calibri"/>
          <w:sz w:val="22"/>
          <w:szCs w:val="22"/>
        </w:rPr>
        <w:t xml:space="preserve">, </w:t>
      </w:r>
      <w:r w:rsidR="00410F41" w:rsidRPr="4FB50D9F">
        <w:rPr>
          <w:rFonts w:ascii="Calibri" w:eastAsia="Calibri" w:hAnsi="Calibri" w:cs="Calibri"/>
          <w:sz w:val="22"/>
          <w:szCs w:val="22"/>
        </w:rPr>
        <w:t xml:space="preserve">Johan Stub </w:t>
      </w:r>
      <w:proofErr w:type="spellStart"/>
      <w:r w:rsidR="00410F41" w:rsidRPr="4FB50D9F">
        <w:rPr>
          <w:rFonts w:ascii="Calibri" w:eastAsia="Calibri" w:hAnsi="Calibri" w:cs="Calibri"/>
          <w:sz w:val="22"/>
          <w:szCs w:val="22"/>
        </w:rPr>
        <w:t>Rønø</w:t>
      </w:r>
      <w:proofErr w:type="spellEnd"/>
      <w:r w:rsidR="00410F41" w:rsidRPr="4FB50D9F">
        <w:rPr>
          <w:rFonts w:ascii="Calibri" w:eastAsia="Calibri" w:hAnsi="Calibri" w:cs="Calibri"/>
          <w:sz w:val="22"/>
          <w:szCs w:val="22"/>
        </w:rPr>
        <w:t xml:space="preserve"> Clausen, </w:t>
      </w:r>
      <w:r w:rsidRPr="4FB50D9F">
        <w:rPr>
          <w:rFonts w:ascii="Calibri" w:eastAsia="Calibri" w:hAnsi="Calibri" w:cs="Calibri"/>
          <w:sz w:val="22"/>
          <w:szCs w:val="22"/>
        </w:rPr>
        <w:t xml:space="preserve">Karoline Bendix </w:t>
      </w:r>
      <w:proofErr w:type="spellStart"/>
      <w:r w:rsidRPr="4FB50D9F">
        <w:rPr>
          <w:rFonts w:ascii="Calibri" w:eastAsia="Calibri" w:hAnsi="Calibri" w:cs="Calibri"/>
          <w:sz w:val="22"/>
          <w:szCs w:val="22"/>
        </w:rPr>
        <w:t>Bräuner</w:t>
      </w:r>
      <w:proofErr w:type="spellEnd"/>
      <w:r w:rsidRPr="4FB50D9F">
        <w:rPr>
          <w:rFonts w:ascii="Calibri" w:eastAsia="Calibri" w:hAnsi="Calibri" w:cs="Calibri"/>
          <w:sz w:val="22"/>
          <w:szCs w:val="22"/>
        </w:rPr>
        <w:t xml:space="preserve">, Ismail </w:t>
      </w:r>
      <w:proofErr w:type="spellStart"/>
      <w:r w:rsidRPr="4FB50D9F">
        <w:rPr>
          <w:rFonts w:ascii="Calibri" w:eastAsia="Calibri" w:hAnsi="Calibri" w:cs="Calibri"/>
          <w:sz w:val="22"/>
          <w:szCs w:val="22"/>
        </w:rPr>
        <w:t>Gögenur</w:t>
      </w:r>
      <w:proofErr w:type="spellEnd"/>
    </w:p>
    <w:p w14:paraId="00000004" w14:textId="77777777" w:rsidR="005F085B" w:rsidRPr="00367DF9" w:rsidRDefault="005F085B">
      <w:pPr>
        <w:pBdr>
          <w:top w:val="nil"/>
          <w:left w:val="nil"/>
          <w:bottom w:val="nil"/>
          <w:right w:val="nil"/>
          <w:between w:val="nil"/>
        </w:pBdr>
        <w:spacing w:after="240"/>
        <w:jc w:val="center"/>
        <w:rPr>
          <w:rFonts w:ascii="Calibri" w:eastAsia="Calibri" w:hAnsi="Calibri" w:cs="Calibri"/>
          <w:b/>
          <w:color w:val="000000"/>
          <w:sz w:val="22"/>
          <w:szCs w:val="22"/>
        </w:rPr>
        <w:sectPr w:rsidR="005F085B" w:rsidRPr="00367DF9">
          <w:footerReference w:type="default" r:id="rId10"/>
          <w:pgSz w:w="12240" w:h="15840"/>
          <w:pgMar w:top="1440" w:right="1440" w:bottom="1440" w:left="1440" w:header="0" w:footer="720" w:gutter="0"/>
          <w:pgNumType w:start="1"/>
          <w:cols w:space="720"/>
        </w:sectPr>
      </w:pPr>
    </w:p>
    <w:p w14:paraId="00000005" w14:textId="77777777" w:rsidR="005F085B" w:rsidRPr="00367DF9" w:rsidRDefault="00374980">
      <w:pPr>
        <w:keepNext/>
        <w:pBdr>
          <w:top w:val="nil"/>
          <w:left w:val="nil"/>
          <w:bottom w:val="nil"/>
          <w:right w:val="nil"/>
          <w:between w:val="nil"/>
        </w:pBdr>
        <w:spacing w:before="120" w:after="120"/>
        <w:jc w:val="both"/>
        <w:rPr>
          <w:rFonts w:asciiTheme="majorHAnsi" w:eastAsia="Calibri" w:hAnsiTheme="majorHAnsi" w:cstheme="majorHAnsi"/>
          <w:b/>
          <w:color w:val="000000"/>
          <w:sz w:val="22"/>
          <w:szCs w:val="22"/>
        </w:rPr>
      </w:pPr>
      <w:r w:rsidRPr="00367DF9">
        <w:rPr>
          <w:rFonts w:asciiTheme="majorHAnsi" w:eastAsia="Calibri" w:hAnsiTheme="majorHAnsi" w:cstheme="majorHAnsi"/>
          <w:b/>
          <w:sz w:val="22"/>
          <w:szCs w:val="22"/>
        </w:rPr>
        <w:t>Background</w:t>
      </w:r>
    </w:p>
    <w:p w14:paraId="2E98E1AA" w14:textId="66261AE8" w:rsidR="00247713" w:rsidRPr="00367DF9" w:rsidRDefault="00247713" w:rsidP="00247713">
      <w:pPr>
        <w:rPr>
          <w:rFonts w:asciiTheme="majorHAnsi" w:hAnsiTheme="majorHAnsi" w:cstheme="majorHAnsi"/>
          <w:sz w:val="22"/>
          <w:szCs w:val="22"/>
        </w:rPr>
      </w:pPr>
      <w:r w:rsidRPr="00367DF9">
        <w:rPr>
          <w:rFonts w:asciiTheme="majorHAnsi" w:hAnsiTheme="majorHAnsi" w:cstheme="majorHAnsi"/>
          <w:sz w:val="22"/>
          <w:szCs w:val="22"/>
        </w:rPr>
        <w:t>Postoperative complications in colorectal cancer surgery are associated with increased mortality in the immediate postoperative phase up to the first year after resection</w:t>
      </w:r>
      <w:r w:rsidR="00EF6687" w:rsidRPr="00367DF9">
        <w:rPr>
          <w:rFonts w:asciiTheme="majorHAnsi" w:hAnsiTheme="majorHAnsi" w:cstheme="majorHAnsi"/>
          <w:sz w:val="22"/>
          <w:szCs w:val="22"/>
        </w:rPr>
        <w:t xml:space="preserve"> </w:t>
      </w:r>
      <w:r w:rsidR="00EF6687" w:rsidRPr="00367DF9">
        <w:rPr>
          <w:rFonts w:asciiTheme="majorHAnsi" w:hAnsiTheme="majorHAnsi" w:cstheme="majorHAnsi"/>
          <w:sz w:val="22"/>
          <w:szCs w:val="22"/>
        </w:rPr>
        <w:fldChar w:fldCharType="begin"/>
      </w:r>
      <w:r w:rsidR="00EF6687" w:rsidRPr="00367DF9">
        <w:rPr>
          <w:rFonts w:asciiTheme="majorHAnsi" w:hAnsiTheme="majorHAnsi" w:cstheme="majorHAnsi"/>
          <w:sz w:val="22"/>
          <w:szCs w:val="22"/>
        </w:rPr>
        <w:instrText xml:space="preserve"> ADDIN ZOTERO_ITEM CSL_CITATION {"citationID":"Iecs0izS","properties":{"formattedCitation":"(1)","plainCitation":"(1)","noteIndex":0},"citationItems":[{"id":25408,"uris":["http://zotero.org/users/local/AB14p9lM/items/AARSG4AR"],"uri":["http://zotero.org/users/local/AB14p9lM/items/AARSG4AR"],"itemData":{"id":25408,"type":"article-journal","abstract":"BACKGROUND: Elderly colorectal cancer patients have worse prognosis than younger patients. Age-related survival differences may be cancer or treatment related, but also due to death from other causes. This study aims to compare population-based survival data for young (&lt;65 years), aged (65-74 years), and elderly (≥75 years) colorectal cancer patients.\nMETHODS: All patients operated for stage I-III colorectal cancer between 1991 and 2005 in the western region of The Netherlands were included. Crude survival, relative survival, and conditional relative survival curves, under the condition of surviving 1 year, were made for colon and rectal cancer patients separately. Furthermore, 30-day, 1-year, and 1-year excess mortality data were compared.\nRESULTS: A total of 9,397 stage I-III colorectal cancer patients were included in this study. Crude survival curves showed clear survival differences between the age groups. These age-related differences were less prominent in relative survival and disappeared in conditional relative survival (CRS). Only in stage III disease did elderly patients have worse CRS than young patients. Furthermore, significant age-related differences in 30-day and 1-year excess mortality were found. Thirty-day mortality vastly underestimated 1-year mortality for all age groups.\nCONCLUSIONS: Elderly colorectal cancer patients who survive the first year have the same cancer-related survival as younger patients. Therefore, decreased survival in the elderly is mainly due to differences in early mortality. Treatment of elderly colorectal cancer patients should focus on perioperative care and the first postoperative year.","container-title":"Annals of Surgical Oncology","DOI":"10.1245/s10434-011-1671-x","ISSN":"1534-4681","issue":"6","journalAbbreviation":"Ann Surg Oncol","language":"eng","note":"PMID: 21445672\nPMCID: PMC3087879","page":"1533-1539","source":"PubMed","title":"Importance of the first postoperative year in the prognosis of elderly colorectal cancer patients","volume":"18","author":[{"family":"Dekker","given":"J. W. T."},{"family":"Broek","given":"C. B. M.","non-dropping-particle":"van den"},{"family":"Bastiaannet","given":"E."},{"family":"Geest","given":"L. G. M.","non-dropping-particle":"van de"},{"family":"Tollenaar","given":"R. a. E. M."},{"family":"Liefers","given":"G. J."}],"issued":{"date-parts":[["2011",6]]}}}],"schema":"https://github.com/citation-style-language/schema/raw/master/csl-citation.json"} </w:instrText>
      </w:r>
      <w:r w:rsidR="00EF6687" w:rsidRPr="00367DF9">
        <w:rPr>
          <w:rFonts w:asciiTheme="majorHAnsi" w:hAnsiTheme="majorHAnsi" w:cstheme="majorHAnsi"/>
          <w:sz w:val="22"/>
          <w:szCs w:val="22"/>
        </w:rPr>
        <w:fldChar w:fldCharType="separate"/>
      </w:r>
      <w:r w:rsidR="00EF6687" w:rsidRPr="00367DF9">
        <w:rPr>
          <w:rFonts w:asciiTheme="majorHAnsi" w:hAnsiTheme="majorHAnsi" w:cstheme="majorHAnsi"/>
          <w:sz w:val="22"/>
          <w:szCs w:val="22"/>
        </w:rPr>
        <w:t>(1)</w:t>
      </w:r>
      <w:r w:rsidR="00EF6687" w:rsidRPr="00367DF9">
        <w:rPr>
          <w:rFonts w:asciiTheme="majorHAnsi" w:hAnsiTheme="majorHAnsi" w:cstheme="majorHAnsi"/>
          <w:sz w:val="22"/>
          <w:szCs w:val="22"/>
        </w:rPr>
        <w:fldChar w:fldCharType="end"/>
      </w:r>
      <w:r w:rsidRPr="00367DF9">
        <w:rPr>
          <w:rFonts w:asciiTheme="majorHAnsi" w:hAnsiTheme="majorHAnsi" w:cstheme="majorHAnsi"/>
          <w:sz w:val="22"/>
          <w:szCs w:val="22"/>
        </w:rPr>
        <w:t>. They also have been reported to be associated with adverse long-term oncological outcomes</w:t>
      </w:r>
      <w:r w:rsidR="00EF6687" w:rsidRPr="00367DF9">
        <w:rPr>
          <w:rFonts w:asciiTheme="majorHAnsi" w:hAnsiTheme="majorHAnsi" w:cstheme="majorHAnsi"/>
          <w:sz w:val="22"/>
          <w:szCs w:val="22"/>
        </w:rPr>
        <w:t xml:space="preserve"> </w:t>
      </w:r>
      <w:r w:rsidR="00EF6687" w:rsidRPr="00367DF9">
        <w:rPr>
          <w:rFonts w:asciiTheme="majorHAnsi" w:hAnsiTheme="majorHAnsi" w:cstheme="majorHAnsi"/>
          <w:sz w:val="22"/>
          <w:szCs w:val="22"/>
        </w:rPr>
        <w:fldChar w:fldCharType="begin"/>
      </w:r>
      <w:r w:rsidR="00EF6687" w:rsidRPr="00367DF9">
        <w:rPr>
          <w:rFonts w:asciiTheme="majorHAnsi" w:hAnsiTheme="majorHAnsi" w:cstheme="majorHAnsi"/>
          <w:sz w:val="22"/>
          <w:szCs w:val="22"/>
        </w:rPr>
        <w:instrText xml:space="preserve"> ADDIN ZOTERO_ITEM CSL_CITATION {"citationID":"G8CatM9o","properties":{"formattedCitation":"(2)","plainCitation":"(2)","noteIndex":0},"citationItems":[{"id":25406,"uris":["http://zotero.org/users/local/AB14p9lM/items/WSXA5RXN"],"uri":["http://zotero.org/users/local/AB14p9lM/items/WSXA5RXN"],"itemData":{"id":25406,"type":"article-journal","abstract":"BACKGROUND: Limited data on the relationship between postoperative complications (POCs) after colorectal cancer resection and oncologic outcomes are available. We hypothesized that the increased severity of POCs is associated with progressively worse oncologic outcomes.\nMETHODS: Patients with pathological stages I-III colorectal adenocarcinoma undergoing elective curative resection in a single institution between 2000 and 2012 were identified from a prospectively collected database. The severity of POCs was determined using the Clavien-Dindo classification, and oncologic outcomes were assessed.\nRESULTS: Of 2266 patients, 669 (30%) had at least one POC. POCs were not associated with pathologic stage (p = 0.58) or use of adjuvant therapy (p = 0.19). With a mean follow-up of 5.3 years, POCs were associated with decreased 5-year overall survival (OS) (60% vs. 77%, p &lt; 0.001), disease-free survival (DFS) (53% vs. 70%, p &lt; 0.001), cancer-specific survival (CSS) (81% vs. 87%, p &lt; 0.001), and increased overall recurrence rates (19% vs. 15%, p = 0.008). Increasing Clavien-Dindo scores from I to IV was significantly associated with progressively decreasing OS (71, 64, 60, 22%, p &lt; 0.001), DFS (65, 58, 51, 19%, p &lt; 0.001), CSS (88, 77, 79, 74%, p &lt; 0.001), and increasing recurrence rates (12, 20, 26, 18%, p = 0.002). Multivariate analysis confirmed POCs as an independent factor associated with decreased OS [hazard ratio (HR) 0.63, 95% CI 0.52-0.76], DFS (HR 0.64, 95% CI 0.54-0.76), CSS (HR 0.73, 95% CI 0.56-0.97), and increased recurrence rates (HR 1.36, 95% CI 1.02-1.80).\nCONCLUSIONS: POCs are associated with adverse oncologic outcomes, with increasing effect with higher Clavien-Dindo score. Efforts to reduce both the incidence and severity of complications should result in improved oncologic outcomes.","container-title":"Annals of Surgical Oncology","DOI":"10.1245/s10434-017-6142-6","ISSN":"1534-4681","issue":"1","journalAbbreviation":"Ann Surg Oncol","language":"eng","note":"PMID: 29116488","page":"188-196","source":"PubMed","title":"The Relationship Between Clavien-Dindo Morbidity Classification and Oncologic Outcomes After Colorectal Cancer Resection","volume":"25","author":[{"family":"Duraes","given":"Leonardo C."},{"family":"Stocchi","given":"Luca"},{"family":"Steele","given":"Scott R."},{"family":"Kalady","given":"Matthew F."},{"family":"Church","given":"James M."},{"family":"Gorgun","given":"Emre"},{"family":"Liska","given":"David"},{"family":"Kessler","given":"Hermann"},{"family":"Lavryk","given":"Olga A."},{"family":"Delaney","given":"Conor P."}],"issued":{"date-parts":[["2018",1]]}}}],"schema":"https://github.com/citation-style-language/schema/raw/master/csl-citation.json"} </w:instrText>
      </w:r>
      <w:r w:rsidR="00EF6687" w:rsidRPr="00367DF9">
        <w:rPr>
          <w:rFonts w:asciiTheme="majorHAnsi" w:hAnsiTheme="majorHAnsi" w:cstheme="majorHAnsi"/>
          <w:sz w:val="22"/>
          <w:szCs w:val="22"/>
        </w:rPr>
        <w:fldChar w:fldCharType="separate"/>
      </w:r>
      <w:r w:rsidR="00EF6687" w:rsidRPr="00367DF9">
        <w:rPr>
          <w:rFonts w:asciiTheme="majorHAnsi" w:hAnsiTheme="majorHAnsi" w:cstheme="majorHAnsi"/>
          <w:sz w:val="22"/>
          <w:szCs w:val="22"/>
        </w:rPr>
        <w:t>(2)</w:t>
      </w:r>
      <w:r w:rsidR="00EF6687" w:rsidRPr="00367DF9">
        <w:rPr>
          <w:rFonts w:asciiTheme="majorHAnsi" w:hAnsiTheme="majorHAnsi" w:cstheme="majorHAnsi"/>
          <w:sz w:val="22"/>
          <w:szCs w:val="22"/>
        </w:rPr>
        <w:fldChar w:fldCharType="end"/>
      </w:r>
      <w:r w:rsidRPr="00367DF9">
        <w:rPr>
          <w:rFonts w:asciiTheme="majorHAnsi" w:hAnsiTheme="majorHAnsi" w:cstheme="majorHAnsi"/>
          <w:sz w:val="22"/>
          <w:szCs w:val="22"/>
        </w:rPr>
        <w:t>.</w:t>
      </w:r>
      <w:r w:rsidR="00EF6687" w:rsidRPr="00367DF9">
        <w:rPr>
          <w:rFonts w:asciiTheme="majorHAnsi" w:hAnsiTheme="majorHAnsi" w:cstheme="majorHAnsi"/>
          <w:sz w:val="22"/>
          <w:szCs w:val="22"/>
        </w:rPr>
        <w:t xml:space="preserve"> </w:t>
      </w:r>
    </w:p>
    <w:p w14:paraId="3A15FBD8" w14:textId="3763C883" w:rsidR="00247713" w:rsidRPr="00367DF9" w:rsidRDefault="00247713" w:rsidP="30F42F54">
      <w:pPr>
        <w:rPr>
          <w:rFonts w:asciiTheme="majorHAnsi" w:hAnsiTheme="majorHAnsi" w:cstheme="majorBidi"/>
          <w:sz w:val="22"/>
          <w:szCs w:val="22"/>
        </w:rPr>
      </w:pPr>
      <w:r w:rsidRPr="00367DF9">
        <w:rPr>
          <w:sz w:val="22"/>
          <w:szCs w:val="22"/>
        </w:rPr>
        <w:br/>
      </w:r>
      <w:r w:rsidRPr="00367DF9">
        <w:rPr>
          <w:rFonts w:asciiTheme="majorHAnsi" w:hAnsiTheme="majorHAnsi" w:cstheme="majorBidi"/>
          <w:sz w:val="22"/>
          <w:szCs w:val="22"/>
        </w:rPr>
        <w:t xml:space="preserve">Predicting risk of postoperative complications can aid in decision-making for </w:t>
      </w:r>
      <w:r w:rsidR="00140E69" w:rsidRPr="00367DF9">
        <w:rPr>
          <w:rFonts w:asciiTheme="majorHAnsi" w:hAnsiTheme="majorHAnsi" w:cstheme="majorBidi"/>
          <w:sz w:val="22"/>
          <w:szCs w:val="22"/>
        </w:rPr>
        <w:t>patients with colorectal cancer</w:t>
      </w:r>
      <w:r w:rsidRPr="00367DF9">
        <w:rPr>
          <w:rFonts w:asciiTheme="majorHAnsi" w:hAnsiTheme="majorHAnsi" w:cstheme="majorBidi"/>
          <w:sz w:val="22"/>
          <w:szCs w:val="22"/>
        </w:rPr>
        <w:t>, e.g. whether a patient is a candidate for curative surgery, or also how closely a patient should be monitored in the early postoperative phase and determine how aggressive therapeutic interventions could be</w:t>
      </w:r>
      <w:r w:rsidR="00140E69" w:rsidRPr="00367DF9">
        <w:rPr>
          <w:rFonts w:asciiTheme="majorHAnsi" w:hAnsiTheme="majorHAnsi" w:cstheme="majorBidi"/>
          <w:sz w:val="22"/>
          <w:szCs w:val="22"/>
        </w:rPr>
        <w:t xml:space="preserve"> and whether a change in surgical strategy is appropriate</w:t>
      </w:r>
      <w:r w:rsidRPr="00367DF9">
        <w:rPr>
          <w:rFonts w:asciiTheme="majorHAnsi" w:hAnsiTheme="majorHAnsi" w:cstheme="majorBidi"/>
          <w:sz w:val="22"/>
          <w:szCs w:val="22"/>
        </w:rPr>
        <w:t xml:space="preserve">. </w:t>
      </w:r>
    </w:p>
    <w:p w14:paraId="786B5313" w14:textId="77777777" w:rsidR="00247713" w:rsidRPr="00367DF9" w:rsidRDefault="00247713" w:rsidP="00247713">
      <w:pPr>
        <w:rPr>
          <w:rFonts w:asciiTheme="majorHAnsi" w:hAnsiTheme="majorHAnsi" w:cstheme="majorHAnsi"/>
          <w:sz w:val="22"/>
          <w:szCs w:val="22"/>
        </w:rPr>
      </w:pPr>
    </w:p>
    <w:p w14:paraId="485EF64A" w14:textId="0DE04003" w:rsidR="00247713" w:rsidRPr="00367DF9" w:rsidRDefault="00247713" w:rsidP="30F42F54">
      <w:pPr>
        <w:rPr>
          <w:rFonts w:asciiTheme="majorHAnsi" w:hAnsiTheme="majorHAnsi" w:cstheme="majorBidi"/>
          <w:sz w:val="22"/>
          <w:szCs w:val="22"/>
        </w:rPr>
      </w:pPr>
      <w:r w:rsidRPr="00367DF9">
        <w:rPr>
          <w:rFonts w:asciiTheme="majorHAnsi" w:hAnsiTheme="majorHAnsi" w:cstheme="majorBidi"/>
          <w:sz w:val="22"/>
          <w:szCs w:val="22"/>
        </w:rPr>
        <w:t xml:space="preserve">Postoperative complications are graded by severity in the Danish Colorectal Cancer Group (DCCG) database using the </w:t>
      </w:r>
      <w:proofErr w:type="spellStart"/>
      <w:r w:rsidRPr="00367DF9">
        <w:rPr>
          <w:rFonts w:asciiTheme="majorHAnsi" w:hAnsiTheme="majorHAnsi" w:cstheme="majorBidi"/>
          <w:sz w:val="22"/>
          <w:szCs w:val="22"/>
        </w:rPr>
        <w:t>Clavien-Dindo</w:t>
      </w:r>
      <w:proofErr w:type="spellEnd"/>
      <w:r w:rsidRPr="00367DF9">
        <w:rPr>
          <w:rFonts w:asciiTheme="majorHAnsi" w:hAnsiTheme="majorHAnsi" w:cstheme="majorBidi"/>
          <w:sz w:val="22"/>
          <w:szCs w:val="22"/>
        </w:rPr>
        <w:t xml:space="preserve"> complications classification</w:t>
      </w:r>
      <w:r w:rsidR="00140E69" w:rsidRPr="00367DF9">
        <w:rPr>
          <w:rFonts w:asciiTheme="majorHAnsi" w:hAnsiTheme="majorHAnsi" w:cstheme="majorBidi"/>
          <w:sz w:val="22"/>
          <w:szCs w:val="22"/>
        </w:rPr>
        <w:t xml:space="preserve">, which can be seen in figure 1 </w:t>
      </w:r>
      <w:r w:rsidRPr="00367DF9">
        <w:rPr>
          <w:rFonts w:asciiTheme="majorHAnsi" w:hAnsiTheme="majorHAnsi" w:cstheme="majorBidi"/>
          <w:sz w:val="22"/>
          <w:szCs w:val="22"/>
        </w:rPr>
        <w:fldChar w:fldCharType="begin"/>
      </w:r>
      <w:r w:rsidRPr="00367DF9">
        <w:rPr>
          <w:rFonts w:asciiTheme="majorHAnsi" w:hAnsiTheme="majorHAnsi" w:cstheme="majorBidi"/>
          <w:sz w:val="22"/>
          <w:szCs w:val="22"/>
        </w:rPr>
        <w:instrText xml:space="preserve"> ADDIN ZOTERO_ITEM CSL_CITATION {"citationID":"TCfzIPKc","properties":{"formattedCitation":"(3)","plainCitation":"(3)","noteIndex":0},"citationItems":[{"id":25401,"uris":["http://zotero.org/users/local/AB14p9lM/items/RU66J7RB"],"uri":["http://zotero.org/users/local/AB14p9lM/items/RU66J7RB"],"itemData":{"id":25401,"type":"article-journal","abstract":"OBJECTIVE: Although quality assessment is gaining increasing attention, there is still no consensus on how to define and grade postoperative complications. This shortcoming hampers comparison of outcome data among different centers and therapies and over time.\nPATIENTS AND METHODS: A classification of complications published by one of the authors in 1992 was critically re-evaluated and modified to increase its accuracy and its acceptability in the surgical community. Modifications mainly focused on the manner of reporting life-threatening and permanently disabling complications. The new grading system still mostly relies on the therapy used to treat the complication. The classification was tested in a cohort of 6336 patients who underwent elective general surgery at our institution. The reproducibility and personal judgment of the classification were evaluated through an international survey with 2 questionnaires sent to 10 surgical centers worldwide.\nRESULTS: The new ranking system significantly correlated with complexity of surgery (P &lt; 0.0001) as well as with the length of the hospital stay (P &lt; 0.0001). A total of 144 surgeons from 10 different centers around the world and at different levels of training returned the survey. Ninety percent of the case presentations were correctly graded. The classification was considered to be simple (92% of the respondents), reproducible (91%), logical (92%), useful (90%), and comprehensive (89%). The answers of both questionnaires were not dependent on the origin of the reply and the level of training of the surgeons.\nCONCLUSIONS: The new complication classification appears reliable and may represent a compelling tool for quality assessment in surgery in all parts of the world.","container-title":"Annals of Surgery","DOI":"10.1097/01.sla.0000133083.54934.ae","ISSN":"0003-4932","issue":"2","journalAbbreviation":"Ann Surg","language":"eng","note":"PMID: 15273542\nPMCID: PMC1360123","page":"205-213","source":"PubMed","title":"Classification of surgical complications: a new proposal with evaluation in a cohort of 6336 patients and results of a survey","title-short":"Classification of surgical complications","volume":"240","author":[{"family":"Dindo","given":"Daniel"},{"family":"Demartines","given":"Nicolas"},{"family":"Clavien","given":"Pierre-Alain"}],"issued":{"date-parts":[["2004",8]]}}}],"schema":"https://github.com/citation-style-language/schema/raw/master/csl-citation.json"} </w:instrText>
      </w:r>
      <w:r w:rsidRPr="00367DF9">
        <w:rPr>
          <w:rFonts w:asciiTheme="majorHAnsi" w:hAnsiTheme="majorHAnsi" w:cstheme="majorBidi"/>
          <w:sz w:val="22"/>
          <w:szCs w:val="22"/>
        </w:rPr>
        <w:fldChar w:fldCharType="separate"/>
      </w:r>
      <w:r w:rsidR="00EF6687" w:rsidRPr="00367DF9">
        <w:rPr>
          <w:rFonts w:asciiTheme="majorHAnsi" w:hAnsiTheme="majorHAnsi" w:cstheme="majorBidi"/>
          <w:sz w:val="22"/>
          <w:szCs w:val="22"/>
        </w:rPr>
        <w:t>(3)</w:t>
      </w:r>
      <w:r w:rsidRPr="00367DF9">
        <w:rPr>
          <w:rFonts w:asciiTheme="majorHAnsi" w:hAnsiTheme="majorHAnsi" w:cstheme="majorBidi"/>
          <w:sz w:val="22"/>
          <w:szCs w:val="22"/>
        </w:rPr>
        <w:fldChar w:fldCharType="end"/>
      </w:r>
      <w:r w:rsidRPr="00367DF9">
        <w:rPr>
          <w:rFonts w:asciiTheme="majorHAnsi" w:hAnsiTheme="majorHAnsi" w:cstheme="majorBidi"/>
          <w:sz w:val="22"/>
          <w:szCs w:val="22"/>
        </w:rPr>
        <w:t>. This grades the severity of the complication by the necessity, manner and invasiveness of a resulting intervention:</w:t>
      </w:r>
    </w:p>
    <w:p w14:paraId="7E1B4E6B" w14:textId="77777777" w:rsidR="00247713" w:rsidRPr="00367DF9" w:rsidRDefault="00247713" w:rsidP="00247713">
      <w:pPr>
        <w:rPr>
          <w:rFonts w:asciiTheme="majorHAnsi" w:hAnsiTheme="majorHAnsi" w:cstheme="majorHAnsi"/>
          <w:sz w:val="22"/>
          <w:szCs w:val="22"/>
        </w:rPr>
      </w:pPr>
    </w:p>
    <w:p w14:paraId="789C6165" w14:textId="6686E6CD" w:rsidR="00247713" w:rsidRPr="00367DF9" w:rsidRDefault="00247713" w:rsidP="30F42F54">
      <w:pPr>
        <w:rPr>
          <w:rFonts w:asciiTheme="majorHAnsi" w:hAnsiTheme="majorHAnsi" w:cstheme="majorBidi"/>
          <w:sz w:val="22"/>
          <w:szCs w:val="22"/>
        </w:rPr>
      </w:pPr>
      <w:r>
        <w:rPr>
          <w:noProof/>
        </w:rPr>
        <w:drawing>
          <wp:inline distT="0" distB="0" distL="0" distR="0" wp14:anchorId="1899FC03" wp14:editId="4FB50D9F">
            <wp:extent cx="5943600" cy="3696336"/>
            <wp:effectExtent l="0" t="0" r="0" b="0"/>
            <wp:docPr id="2" name="Picture 2" descr="Tab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696336"/>
                    </a:xfrm>
                    <a:prstGeom prst="rect">
                      <a:avLst/>
                    </a:prstGeom>
                  </pic:spPr>
                </pic:pic>
              </a:graphicData>
            </a:graphic>
          </wp:inline>
        </w:drawing>
      </w:r>
    </w:p>
    <w:p w14:paraId="5EF858E8" w14:textId="77777777" w:rsidR="00247713" w:rsidRPr="00367DF9" w:rsidRDefault="00247713" w:rsidP="00247713">
      <w:pPr>
        <w:rPr>
          <w:rFonts w:asciiTheme="majorHAnsi" w:hAnsiTheme="majorHAnsi" w:cstheme="majorHAnsi"/>
          <w:sz w:val="22"/>
          <w:szCs w:val="22"/>
        </w:rPr>
      </w:pPr>
    </w:p>
    <w:p w14:paraId="0AEBFA68" w14:textId="6A5FB7EA" w:rsidR="00EF6687" w:rsidRPr="00367DF9" w:rsidRDefault="00EF6687" w:rsidP="00247713">
      <w:pPr>
        <w:rPr>
          <w:rFonts w:asciiTheme="majorHAnsi" w:hAnsiTheme="majorHAnsi" w:cstheme="majorHAnsi"/>
          <w:sz w:val="22"/>
          <w:szCs w:val="22"/>
        </w:rPr>
      </w:pPr>
      <w:r w:rsidRPr="00367DF9">
        <w:rPr>
          <w:rFonts w:asciiTheme="majorHAnsi" w:hAnsiTheme="majorHAnsi" w:cstheme="majorHAnsi"/>
          <w:b/>
          <w:bCs/>
          <w:sz w:val="22"/>
          <w:szCs w:val="22"/>
        </w:rPr>
        <w:t xml:space="preserve"> Figure 1:</w:t>
      </w:r>
      <w:r w:rsidRPr="00367DF9">
        <w:rPr>
          <w:rFonts w:asciiTheme="majorHAnsi" w:hAnsiTheme="majorHAnsi" w:cstheme="majorHAnsi"/>
          <w:sz w:val="22"/>
          <w:szCs w:val="22"/>
        </w:rPr>
        <w:t xml:space="preserve"> Overview of </w:t>
      </w:r>
      <w:proofErr w:type="spellStart"/>
      <w:r w:rsidRPr="00367DF9">
        <w:rPr>
          <w:rFonts w:asciiTheme="majorHAnsi" w:hAnsiTheme="majorHAnsi" w:cstheme="majorHAnsi"/>
          <w:sz w:val="22"/>
          <w:szCs w:val="22"/>
        </w:rPr>
        <w:t>Clavien-Dindo</w:t>
      </w:r>
      <w:proofErr w:type="spellEnd"/>
      <w:r w:rsidRPr="00367DF9">
        <w:rPr>
          <w:rFonts w:asciiTheme="majorHAnsi" w:hAnsiTheme="majorHAnsi" w:cstheme="majorHAnsi"/>
          <w:sz w:val="22"/>
          <w:szCs w:val="22"/>
        </w:rPr>
        <w:t xml:space="preserve"> postoperative complications scale </w:t>
      </w:r>
      <w:r w:rsidRPr="00367DF9">
        <w:rPr>
          <w:rFonts w:asciiTheme="majorHAnsi" w:hAnsiTheme="majorHAnsi" w:cstheme="majorHAnsi"/>
          <w:sz w:val="22"/>
          <w:szCs w:val="22"/>
        </w:rPr>
        <w:fldChar w:fldCharType="begin"/>
      </w:r>
      <w:r w:rsidRPr="00367DF9">
        <w:rPr>
          <w:rFonts w:asciiTheme="majorHAnsi" w:hAnsiTheme="majorHAnsi" w:cstheme="majorHAnsi"/>
          <w:sz w:val="22"/>
          <w:szCs w:val="22"/>
        </w:rPr>
        <w:instrText xml:space="preserve"> ADDIN ZOTERO_ITEM CSL_CITATION {"citationID":"WcA6jnUG","properties":{"formattedCitation":"(3)","plainCitation":"(3)","noteIndex":0},"citationItems":[{"id":25401,"uris":["http://zotero.org/users/local/AB14p9lM/items/RU66J7RB"],"uri":["http://zotero.org/users/local/AB14p9lM/items/RU66J7RB"],"itemData":{"id":25401,"type":"article-journal","abstract":"OBJECTIVE: Although quality assessment is gaining increasing attention, there is still no consensus on how to define and grade postoperative complications. This shortcoming hampers comparison of outcome data among different centers and therapies and over time.\nPATIENTS AND METHODS: A classification of complications published by one of the authors in 1992 was critically re-evaluated and modified to increase its accuracy and its acceptability in the surgical community. Modifications mainly focused on the manner of reporting life-threatening and permanently disabling complications. The new grading system still mostly relies on the therapy used to treat the complication. The classification was tested in a cohort of 6336 patients who underwent elective general surgery at our institution. The reproducibility and personal judgment of the classification were evaluated through an international survey with 2 questionnaires sent to 10 surgical centers worldwide.\nRESULTS: The new ranking system significantly correlated with complexity of surgery (P &lt; 0.0001) as well as with the length of the hospital stay (P &lt; 0.0001). A total of 144 surgeons from 10 different centers around the world and at different levels of training returned the survey. Ninety percent of the case presentations were correctly graded. The classification was considered to be simple (92% of the respondents), reproducible (91%), logical (92%), useful (90%), and comprehensive (89%). The answers of both questionnaires were not dependent on the origin of the reply and the level of training of the surgeons.\nCONCLUSIONS: The new complication classification appears reliable and may represent a compelling tool for quality assessment in surgery in all parts of the world.","container-title":"Annals of Surgery","DOI":"10.1097/01.sla.0000133083.54934.ae","ISSN":"0003-4932","issue":"2","journalAbbreviation":"Ann Surg","language":"eng","note":"PMID: 15273542\nPMCID: PMC1360123","page":"205-213","source":"PubMed","title":"Classification of surgical complications: a new proposal with evaluation in a cohort of 6336 patients and results of a survey","title-short":"Classification of surgical complications","volume":"240","author":[{"family":"Dindo","given":"Daniel"},{"family":"Demartines","given":"Nicolas"},{"family":"Clavien","given":"Pierre-Alain"}],"issued":{"date-parts":[["2004",8]]}}}],"schema":"https://github.com/citation-style-language/schema/raw/master/csl-citation.json"} </w:instrText>
      </w:r>
      <w:r w:rsidRPr="00367DF9">
        <w:rPr>
          <w:rFonts w:asciiTheme="majorHAnsi" w:hAnsiTheme="majorHAnsi" w:cstheme="majorHAnsi"/>
          <w:sz w:val="22"/>
          <w:szCs w:val="22"/>
        </w:rPr>
        <w:fldChar w:fldCharType="separate"/>
      </w:r>
      <w:r w:rsidRPr="00367DF9">
        <w:rPr>
          <w:rFonts w:asciiTheme="majorHAnsi" w:hAnsiTheme="majorHAnsi" w:cstheme="majorHAnsi"/>
          <w:sz w:val="22"/>
          <w:szCs w:val="22"/>
        </w:rPr>
        <w:t>(3)</w:t>
      </w:r>
      <w:r w:rsidRPr="00367DF9">
        <w:rPr>
          <w:rFonts w:asciiTheme="majorHAnsi" w:hAnsiTheme="majorHAnsi" w:cstheme="majorHAnsi"/>
          <w:sz w:val="22"/>
          <w:szCs w:val="22"/>
        </w:rPr>
        <w:fldChar w:fldCharType="end"/>
      </w:r>
    </w:p>
    <w:p w14:paraId="6D88A079" w14:textId="77777777" w:rsidR="00EF6687" w:rsidRPr="00367DF9" w:rsidRDefault="00EF6687" w:rsidP="00247713">
      <w:pPr>
        <w:rPr>
          <w:rFonts w:asciiTheme="majorHAnsi" w:hAnsiTheme="majorHAnsi" w:cstheme="majorHAnsi"/>
          <w:sz w:val="22"/>
          <w:szCs w:val="22"/>
        </w:rPr>
      </w:pPr>
    </w:p>
    <w:p w14:paraId="7877B0F1" w14:textId="33742CEB" w:rsidR="00247713" w:rsidRPr="00367DF9" w:rsidRDefault="00247713" w:rsidP="00247713">
      <w:pPr>
        <w:rPr>
          <w:rFonts w:asciiTheme="majorHAnsi" w:hAnsiTheme="majorHAnsi" w:cstheme="majorHAnsi"/>
          <w:sz w:val="22"/>
          <w:szCs w:val="22"/>
        </w:rPr>
      </w:pPr>
      <w:r w:rsidRPr="00367DF9">
        <w:rPr>
          <w:rFonts w:asciiTheme="majorHAnsi" w:hAnsiTheme="majorHAnsi" w:cstheme="majorHAnsi"/>
          <w:sz w:val="22"/>
          <w:szCs w:val="22"/>
        </w:rPr>
        <w:t xml:space="preserve">The consequences of knowing whether a patient has a high risk of developing a severe complication that </w:t>
      </w:r>
      <w:r w:rsidRPr="00367DF9">
        <w:rPr>
          <w:rFonts w:asciiTheme="majorHAnsi" w:hAnsiTheme="majorHAnsi" w:cstheme="majorHAnsi"/>
          <w:sz w:val="22"/>
          <w:szCs w:val="22"/>
        </w:rPr>
        <w:lastRenderedPageBreak/>
        <w:t xml:space="preserve">might require surgery, ICU admission or results in death, can be several. </w:t>
      </w:r>
    </w:p>
    <w:p w14:paraId="22CC06A3" w14:textId="77777777" w:rsidR="00247713" w:rsidRPr="00367DF9" w:rsidRDefault="00247713" w:rsidP="00247713">
      <w:pPr>
        <w:rPr>
          <w:rFonts w:asciiTheme="majorHAnsi" w:hAnsiTheme="majorHAnsi" w:cstheme="majorHAnsi"/>
          <w:sz w:val="22"/>
          <w:szCs w:val="22"/>
        </w:rPr>
      </w:pPr>
    </w:p>
    <w:p w14:paraId="17A9851C" w14:textId="5DEEAB39" w:rsidR="00247713" w:rsidRPr="00367DF9" w:rsidRDefault="00247713" w:rsidP="00247713">
      <w:pPr>
        <w:rPr>
          <w:rFonts w:asciiTheme="majorHAnsi" w:hAnsiTheme="majorHAnsi" w:cstheme="majorHAnsi"/>
          <w:sz w:val="22"/>
          <w:szCs w:val="22"/>
        </w:rPr>
      </w:pPr>
      <w:r w:rsidRPr="00367DF9">
        <w:rPr>
          <w:rFonts w:asciiTheme="majorHAnsi" w:hAnsiTheme="majorHAnsi" w:cstheme="majorHAnsi"/>
          <w:sz w:val="22"/>
          <w:szCs w:val="22"/>
        </w:rPr>
        <w:t>Patients with a high risk for severe postoperative complications might be candidates for pre</w:t>
      </w:r>
      <w:r w:rsidR="008944E7" w:rsidRPr="00367DF9">
        <w:rPr>
          <w:rFonts w:asciiTheme="majorHAnsi" w:hAnsiTheme="majorHAnsi" w:cstheme="majorHAnsi"/>
          <w:sz w:val="22"/>
          <w:szCs w:val="22"/>
        </w:rPr>
        <w:t>-</w:t>
      </w:r>
      <w:r w:rsidRPr="00367DF9">
        <w:rPr>
          <w:rFonts w:asciiTheme="majorHAnsi" w:hAnsiTheme="majorHAnsi" w:cstheme="majorHAnsi"/>
          <w:sz w:val="22"/>
          <w:szCs w:val="22"/>
        </w:rPr>
        <w:t>habilitation programs prior to surgery</w:t>
      </w:r>
      <w:r w:rsidR="00EF6687" w:rsidRPr="00367DF9">
        <w:rPr>
          <w:rFonts w:asciiTheme="majorHAnsi" w:hAnsiTheme="majorHAnsi" w:cstheme="majorHAnsi"/>
          <w:sz w:val="22"/>
          <w:szCs w:val="22"/>
        </w:rPr>
        <w:t xml:space="preserve"> </w:t>
      </w:r>
      <w:r w:rsidR="00EF6687" w:rsidRPr="00367DF9">
        <w:rPr>
          <w:rFonts w:asciiTheme="majorHAnsi" w:hAnsiTheme="majorHAnsi" w:cstheme="majorHAnsi"/>
          <w:sz w:val="22"/>
          <w:szCs w:val="22"/>
        </w:rPr>
        <w:fldChar w:fldCharType="begin"/>
      </w:r>
      <w:r w:rsidR="00EF6687" w:rsidRPr="00367DF9">
        <w:rPr>
          <w:rFonts w:asciiTheme="majorHAnsi" w:hAnsiTheme="majorHAnsi" w:cstheme="majorHAnsi"/>
          <w:sz w:val="22"/>
          <w:szCs w:val="22"/>
        </w:rPr>
        <w:instrText xml:space="preserve"> ADDIN ZOTERO_ITEM CSL_CITATION {"citationID":"nO4t9zxj","properties":{"formattedCitation":"(4)","plainCitation":"(4)","noteIndex":0},"citationItems":[{"id":25404,"uris":["http://zotero.org/users/local/AB14p9lM/items/7SU4ABVU"],"uri":["http://zotero.org/users/local/AB14p9lM/items/7SU4ABVU"],"itemData":{"id":25404,"type":"article-journal","abstract":"OBJECTIVE: The objective of this study was to investigate the effect of prehabilitation on survival after colorectal cancer surgery.\nSUMMARY OF BACKGROUND DATA: Preoperative multimodal exercise and nutritional programs (prehabilitation) improve functional capacity and recovery following colorectal surgery. Exercise may also affect cancer outcomes by mediating the systemic inflammatory response. The effect of prehabilitation on cancer outcomes is unknown.\nMETHODS: Pooled data from 3 prehabilitation trials (2 randomized controlled trials, 1 cohort) in patients undergoing elective, biopsy-proven, primary non-metastatic colorectal cancer surgery from 2009 to 2014 within an enhanced recovery program were analyzed. Patients were grouped into +prehab or-prehab. The primary outcomes were 5-year disease-free (DFS) and overall survival (OS). DFS and OS were analyzed using Kaplan-Meier curves and multiple Cox regression.\nRESULTS: A total of 202 patients were included (+prehab 104, -prehab 98). Median prehabilitation duration was 29 days (interquartile range 20-40). Patient and tumor characteristics were well-balanced (33% stage III). Postoperative complications and time to adjuvant chemotherapy were similar. Mean duration of follow-up was 60.3 months (standard deviation 26.2). DFS was similar for the combined group of stage I-III patients (P = 0.244). For stage III patients, prehabilitation was associated with improved DFS (73.4% vs 50.9%, P = 0.044). There were no differences in OS (P = 0.226). Prehabilitation independently predicted improved DFS (hazard ratio 0.45; 95% confidence interval, 0.21-0.93), adjusting for stage and other confounders. Prehabilitation did not independently predict OS.\nCONCLUSION: In this report, prehabilitation is associated with improved 5-year DFS in stage III colorectal cancer. This finding should be confirmed in future trials.","container-title":"Annals of Surgery","DOI":"10.1097/SLA.0000000000003465","ISSN":"1528-1140","issue":"3","journalAbbreviation":"Ann Surg","language":"eng","note":"PMID: 31318793","page":"493-501","source":"PubMed","title":"Improved Disease-free Survival After Prehabilitation for Colorectal Cancer Surgery","volume":"270","author":[{"family":"Trépanier","given":"Maude"},{"family":"Minnella","given":"Enrico M."},{"family":"Paradis","given":"Tiffany"},{"family":"Awasthi","given":"Rashami"},{"family":"Kaneva","given":"Pepa"},{"family":"Schwartzman","given":"Kevin"},{"family":"Carli","given":"Franco"},{"family":"Fried","given":"Gerald M."},{"family":"Feldman","given":"Liane S."},{"family":"Lee","given":"Lawrence"}],"issued":{"date-parts":[["2019",9]]}}}],"schema":"https://github.com/citation-style-language/schema/raw/master/csl-citation.json"} </w:instrText>
      </w:r>
      <w:r w:rsidR="00EF6687" w:rsidRPr="00367DF9">
        <w:rPr>
          <w:rFonts w:asciiTheme="majorHAnsi" w:hAnsiTheme="majorHAnsi" w:cstheme="majorHAnsi"/>
          <w:sz w:val="22"/>
          <w:szCs w:val="22"/>
        </w:rPr>
        <w:fldChar w:fldCharType="separate"/>
      </w:r>
      <w:r w:rsidR="00EF6687" w:rsidRPr="00367DF9">
        <w:rPr>
          <w:rFonts w:asciiTheme="majorHAnsi" w:hAnsiTheme="majorHAnsi" w:cstheme="majorHAnsi"/>
          <w:sz w:val="22"/>
          <w:szCs w:val="22"/>
        </w:rPr>
        <w:t>(4)</w:t>
      </w:r>
      <w:r w:rsidR="00EF6687" w:rsidRPr="00367DF9">
        <w:rPr>
          <w:rFonts w:asciiTheme="majorHAnsi" w:hAnsiTheme="majorHAnsi" w:cstheme="majorHAnsi"/>
          <w:sz w:val="22"/>
          <w:szCs w:val="22"/>
        </w:rPr>
        <w:fldChar w:fldCharType="end"/>
      </w:r>
      <w:r w:rsidRPr="00367DF9">
        <w:rPr>
          <w:rFonts w:asciiTheme="majorHAnsi" w:hAnsiTheme="majorHAnsi" w:cstheme="majorHAnsi"/>
          <w:sz w:val="22"/>
          <w:szCs w:val="22"/>
        </w:rPr>
        <w:t>.</w:t>
      </w:r>
      <w:r w:rsidR="008944E7" w:rsidRPr="00367DF9">
        <w:rPr>
          <w:rFonts w:asciiTheme="majorHAnsi" w:hAnsiTheme="majorHAnsi" w:cstheme="majorHAnsi"/>
          <w:sz w:val="22"/>
          <w:szCs w:val="22"/>
        </w:rPr>
        <w:t xml:space="preserve"> </w:t>
      </w:r>
      <w:r w:rsidRPr="00367DF9">
        <w:rPr>
          <w:rFonts w:asciiTheme="majorHAnsi" w:hAnsiTheme="majorHAnsi" w:cstheme="majorHAnsi"/>
          <w:sz w:val="22"/>
          <w:szCs w:val="22"/>
        </w:rPr>
        <w:t>An increased surveillance as to these patients in order to identify complications early in the postoperative phase and potentially lower mortality, can be another method for these high-risk patients</w:t>
      </w:r>
      <w:r w:rsidR="00EF6687" w:rsidRPr="00367DF9">
        <w:rPr>
          <w:rFonts w:asciiTheme="majorHAnsi" w:hAnsiTheme="majorHAnsi" w:cstheme="majorHAnsi"/>
          <w:sz w:val="22"/>
          <w:szCs w:val="22"/>
        </w:rPr>
        <w:t xml:space="preserve"> </w:t>
      </w:r>
      <w:r w:rsidRPr="00367DF9">
        <w:rPr>
          <w:rFonts w:asciiTheme="majorHAnsi" w:hAnsiTheme="majorHAnsi" w:cstheme="majorHAnsi"/>
          <w:sz w:val="22"/>
          <w:szCs w:val="22"/>
        </w:rPr>
        <w:fldChar w:fldCharType="begin"/>
      </w:r>
      <w:r w:rsidR="00EF6687" w:rsidRPr="00367DF9">
        <w:rPr>
          <w:rFonts w:asciiTheme="majorHAnsi" w:hAnsiTheme="majorHAnsi" w:cstheme="majorHAnsi"/>
          <w:sz w:val="22"/>
          <w:szCs w:val="22"/>
        </w:rPr>
        <w:instrText xml:space="preserve"> ADDIN ZOTERO_ITEM CSL_CITATION {"citationID":"kIOacZtu","properties":{"formattedCitation":"(5)","plainCitation":"(5)","noteIndex":0},"citationItems":[{"id":25410,"uris":["http://zotero.org/users/local/AB14p9lM/items/HPBPGLY5"],"uri":["http://zotero.org/users/local/AB14p9lM/items/HPBPGLY5"],"itemData":{"id":25410,"type":"article-journal","abstract":"PURPOSE: The aim of this study was to evaluate whether implementation of a comprehensive quality improvement program was associated with improved outcomes in patients undergoing oncological colorectal surgery in a non-academic, non-referral community hospital.\nMETHODS: The quality improvement program (QIP) was introduced in January 2011 and consisted of the following interventions: (1) avoidance of postoperative nonsteriodal anti-inflammatory drugs; (2) normovolemia was pursued pre- and postoperatively; (3) non-resectional surgery if possible, in patients over 80 with ASA 3 or 4 classification; and (4) a standardized, postoperative surveillance protocol was introduced, with CRP determination day 2 and 4, and if necessary subsequent abdominal CT with rectal contrast to reduce delay in diagnosis of complications. From a prospectively maintained database of 488 patients undergoing colorectal surgery between 2009 and 2014, postoperative outcomes of patients operated before and after implementation of the program were compared.\nRESULTS: The severe complication rate (Clavien-Dindo &gt;3b) decreased significantly (25.0 vs. 13.7 %; p &lt; .001) after implementation of the QIP program. The mortality rate dropped from 8.7 to 2.6 % (p = .003). The percentage of anastomotic leakage was 9.6% before QIP implementation and 4.2% after (p = .013). Median length of hospital stay decreased from 9 (IQR 5-19) to 7 days (IQR 4-12) (p &lt; .001). Multivariate analyses showed that surgery after implementation of the program was a strong independent predictor for less major complications (OR 0.54, 95 % CI 0.32-0.88).\nCONCLUSIONS: A significant decrease in major complications and mortality was observed after introduction of a relative simple quality improvement program.","container-title":"International Journal of Colorectal Disease","DOI":"10.1007/s00384-016-2619-1","ISSN":"1432-1262","issue":"9","journalAbbreviation":"Int J Colorectal Dis","language":"eng","note":"PMID: 27385205\nPMCID: PMC4989010","page":"1603-1609","source":"PubMed","title":"The effect of a postoperative quality improvement program on outcomes in colorectal surgery in a community hospital","volume":"31","author":[{"family":"Marres","given":"C. C. M."},{"family":"Ven","given":"A. W. H.","non-dropping-particle":"van de"},{"family":"Verbeek","given":"P. C. M."},{"family":"Dieren","given":"S.","non-dropping-particle":"van"},{"family":"Bemelman","given":"W. A."},{"family":"Buskens","given":"C. J."}],"issued":{"date-parts":[["2016",9]]}}}],"schema":"https://github.com/citation-style-language/schema/raw/master/csl-citation.json"} </w:instrText>
      </w:r>
      <w:r w:rsidRPr="00367DF9">
        <w:rPr>
          <w:rFonts w:asciiTheme="majorHAnsi" w:hAnsiTheme="majorHAnsi" w:cstheme="majorHAnsi"/>
          <w:sz w:val="22"/>
          <w:szCs w:val="22"/>
        </w:rPr>
        <w:fldChar w:fldCharType="separate"/>
      </w:r>
      <w:r w:rsidR="00EF6687" w:rsidRPr="00367DF9">
        <w:rPr>
          <w:rFonts w:asciiTheme="majorHAnsi" w:hAnsiTheme="majorHAnsi" w:cstheme="majorHAnsi"/>
          <w:sz w:val="22"/>
          <w:szCs w:val="22"/>
        </w:rPr>
        <w:t>(5)</w:t>
      </w:r>
      <w:r w:rsidRPr="00367DF9">
        <w:rPr>
          <w:rFonts w:asciiTheme="majorHAnsi" w:hAnsiTheme="majorHAnsi" w:cstheme="majorHAnsi"/>
          <w:sz w:val="22"/>
          <w:szCs w:val="22"/>
        </w:rPr>
        <w:fldChar w:fldCharType="end"/>
      </w:r>
      <w:r w:rsidR="00EF6687" w:rsidRPr="00367DF9">
        <w:rPr>
          <w:rFonts w:asciiTheme="majorHAnsi" w:hAnsiTheme="majorHAnsi" w:cstheme="majorHAnsi"/>
          <w:sz w:val="22"/>
          <w:szCs w:val="22"/>
        </w:rPr>
        <w:t>.</w:t>
      </w:r>
      <w:r w:rsidR="00410F41" w:rsidRPr="00367DF9">
        <w:rPr>
          <w:rFonts w:asciiTheme="majorHAnsi" w:hAnsiTheme="majorHAnsi" w:cstheme="majorHAnsi"/>
          <w:sz w:val="22"/>
          <w:szCs w:val="22"/>
        </w:rPr>
        <w:t xml:space="preserve"> </w:t>
      </w:r>
    </w:p>
    <w:p w14:paraId="5D644435" w14:textId="77777777" w:rsidR="00247713" w:rsidRPr="00367DF9" w:rsidRDefault="00247713" w:rsidP="00247713">
      <w:pPr>
        <w:rPr>
          <w:rFonts w:asciiTheme="majorHAnsi" w:hAnsiTheme="majorHAnsi" w:cstheme="majorHAnsi"/>
          <w:sz w:val="22"/>
          <w:szCs w:val="22"/>
        </w:rPr>
      </w:pPr>
    </w:p>
    <w:p w14:paraId="6A999891" w14:textId="660B61FF" w:rsidR="00247713" w:rsidRPr="00367DF9" w:rsidRDefault="00247713" w:rsidP="00247713">
      <w:pPr>
        <w:rPr>
          <w:rFonts w:asciiTheme="majorHAnsi" w:hAnsiTheme="majorHAnsi" w:cstheme="majorHAnsi"/>
          <w:sz w:val="22"/>
          <w:szCs w:val="22"/>
        </w:rPr>
      </w:pPr>
      <w:r w:rsidRPr="00367DF9">
        <w:rPr>
          <w:rFonts w:asciiTheme="majorHAnsi" w:hAnsiTheme="majorHAnsi" w:cstheme="majorHAnsi"/>
          <w:sz w:val="22"/>
          <w:szCs w:val="22"/>
        </w:rPr>
        <w:t>The American College of Surgeons National Surgical Quality Improvement Program (ACS NSQIP) has previously used machine</w:t>
      </w:r>
      <w:r w:rsidR="00410F41" w:rsidRPr="00367DF9">
        <w:rPr>
          <w:rFonts w:asciiTheme="majorHAnsi" w:hAnsiTheme="majorHAnsi" w:cstheme="majorHAnsi"/>
          <w:sz w:val="22"/>
          <w:szCs w:val="22"/>
        </w:rPr>
        <w:t>-</w:t>
      </w:r>
      <w:r w:rsidRPr="00367DF9">
        <w:rPr>
          <w:rFonts w:asciiTheme="majorHAnsi" w:hAnsiTheme="majorHAnsi" w:cstheme="majorHAnsi"/>
          <w:sz w:val="22"/>
          <w:szCs w:val="22"/>
        </w:rPr>
        <w:t>learning methods, to construct a prediction model that had good predictive ability to predict specific complications in patients undergoing colorectal, pancreatic and liver resections</w:t>
      </w:r>
      <w:r w:rsidR="00EF6687" w:rsidRPr="00367DF9">
        <w:rPr>
          <w:rFonts w:asciiTheme="majorHAnsi" w:hAnsiTheme="majorHAnsi" w:cstheme="majorHAnsi"/>
          <w:sz w:val="22"/>
          <w:szCs w:val="22"/>
        </w:rPr>
        <w:t xml:space="preserve"> </w:t>
      </w:r>
      <w:r w:rsidR="00EF6687" w:rsidRPr="00367DF9">
        <w:rPr>
          <w:rFonts w:asciiTheme="majorHAnsi" w:hAnsiTheme="majorHAnsi" w:cstheme="majorHAnsi"/>
          <w:sz w:val="22"/>
          <w:szCs w:val="22"/>
        </w:rPr>
        <w:fldChar w:fldCharType="begin"/>
      </w:r>
      <w:r w:rsidR="00EF6687" w:rsidRPr="00367DF9">
        <w:rPr>
          <w:rFonts w:asciiTheme="majorHAnsi" w:hAnsiTheme="majorHAnsi" w:cstheme="majorHAnsi"/>
          <w:sz w:val="22"/>
          <w:szCs w:val="22"/>
        </w:rPr>
        <w:instrText xml:space="preserve"> ADDIN ZOTERO_ITEM CSL_CITATION {"citationID":"S67Ia1R6","properties":{"formattedCitation":"(6)","plainCitation":"(6)","noteIndex":0},"citationItems":[{"id":25411,"uris":["http://zotero.org/users/local/AB14p9lM/items/B8GAZMM6"],"uri":["http://zotero.org/users/local/AB14p9lM/items/B8GAZMM6"],"itemData":{"id":25411,"type":"article-journal","abstract":"BACKGROUND: Surgical resection is the only potentially curative treatment for patients with colorectal, liver, and pancreatic cancers. Although these procedures are performed with low mortality, rates of complications remain relatively high following hepatopancreatic and colorectal surgery.\nMETHODS: The American College of Surgeons (ACS) National Surgical Quality Improvement Program was utilized to identify patients undergoing liver, pancreatic and colorectal surgery from 2014 to 2016. Decision tree models were utilized to predict the occurrence of any complication, as well as specific complications. To assess the variability of the performance of the classification trees, bootstrapping was performed on 50% of the sample.\nRESULTS: Algorithms were derived from a total of 15,657 patients who met inclusion criteria. The algorithm had a good predictive ability for the occurrence of any complication, with a C-statistic of 0.74, outperforming the ASA (C-statistic 0.58) and ACS-Surgical Risk Calculator (C-statistic 0.71). The algorithm was able to predict with high accuracy thirteen out of the seventeen complications analyzed. The best performance was in the prediction of stroke (C-statistic 0.98), followed by wound dehiscence, cardiac arrest, and progressive renal failure (all C-statistic 0.96). The algorithm had a good predictive ability for superficial SSI (C-statistic 0.76), organ space SSI (C-statistic 0.76), sepsis (C-statistic 0.79), and bleeding requiring transfusion (C-statistic 0.79).\nCONCLUSION: Machine learning was used to develop an algorithm that accurately predicted patient risk of developing complications following liver, pancreatic, or colorectal surgery. The algorithm had very good predictive ability to predict specific complications and demonstrated superiority over other established methods.","container-title":"Journal of Gastrointestinal Surgery: Official Journal of the Society for Surgery of the Alimentary Tract","DOI":"10.1007/s11605-019-04338-2","ISSN":"1873-4626","issue":"8","journalAbbreviation":"J Gastrointest Surg","language":"eng","note":"PMID: 31385172","page":"1843-1851","source":"PubMed","title":"Use of Machine Learning for Prediction of Patient Risk of Postoperative Complications After Liver, Pancreatic, and Colorectal Surgery","volume":"24","author":[{"family":"Merath","given":"Katiuscha"},{"family":"Hyer","given":"J. Madison"},{"family":"Mehta","given":"Rittal"},{"family":"Farooq","given":"Ayesha"},{"family":"Bagante","given":"Fabio"},{"family":"Sahara","given":"Kota"},{"family":"Tsilimigras","given":"Diamantis I."},{"family":"Beal","given":"Eliza"},{"family":"Paredes","given":"Anghela Z."},{"family":"Wu","given":"Lu"},{"family":"Ejaz","given":"Aslam"},{"family":"Pawlik","given":"Timothy M."}],"issued":{"date-parts":[["2020",8]]}}}],"schema":"https://github.com/citation-style-language/schema/raw/master/csl-citation.json"} </w:instrText>
      </w:r>
      <w:r w:rsidR="00EF6687" w:rsidRPr="00367DF9">
        <w:rPr>
          <w:rFonts w:asciiTheme="majorHAnsi" w:hAnsiTheme="majorHAnsi" w:cstheme="majorHAnsi"/>
          <w:sz w:val="22"/>
          <w:szCs w:val="22"/>
        </w:rPr>
        <w:fldChar w:fldCharType="separate"/>
      </w:r>
      <w:r w:rsidR="00EF6687" w:rsidRPr="00367DF9">
        <w:rPr>
          <w:rFonts w:asciiTheme="majorHAnsi" w:hAnsiTheme="majorHAnsi" w:cstheme="majorHAnsi"/>
          <w:sz w:val="22"/>
          <w:szCs w:val="22"/>
        </w:rPr>
        <w:t>(6)</w:t>
      </w:r>
      <w:r w:rsidR="00EF6687" w:rsidRPr="00367DF9">
        <w:rPr>
          <w:rFonts w:asciiTheme="majorHAnsi" w:hAnsiTheme="majorHAnsi" w:cstheme="majorHAnsi"/>
          <w:sz w:val="22"/>
          <w:szCs w:val="22"/>
        </w:rPr>
        <w:fldChar w:fldCharType="end"/>
      </w:r>
      <w:r w:rsidRPr="00367DF9">
        <w:rPr>
          <w:rFonts w:asciiTheme="majorHAnsi" w:hAnsiTheme="majorHAnsi" w:cstheme="majorHAnsi"/>
          <w:sz w:val="22"/>
          <w:szCs w:val="22"/>
        </w:rPr>
        <w:t xml:space="preserve">. </w:t>
      </w:r>
    </w:p>
    <w:p w14:paraId="217EE16C" w14:textId="77777777" w:rsidR="00247713" w:rsidRPr="00367DF9" w:rsidRDefault="00247713" w:rsidP="00247713">
      <w:pPr>
        <w:rPr>
          <w:rFonts w:asciiTheme="majorHAnsi" w:hAnsiTheme="majorHAnsi" w:cstheme="majorHAnsi"/>
          <w:sz w:val="22"/>
          <w:szCs w:val="22"/>
        </w:rPr>
      </w:pPr>
    </w:p>
    <w:p w14:paraId="2771DA83" w14:textId="5F48CBFF" w:rsidR="00402B21" w:rsidRDefault="00247713" w:rsidP="00F972D1">
      <w:pPr>
        <w:rPr>
          <w:rFonts w:asciiTheme="majorHAnsi" w:hAnsiTheme="majorHAnsi" w:cstheme="majorHAnsi"/>
          <w:sz w:val="22"/>
          <w:szCs w:val="22"/>
        </w:rPr>
      </w:pPr>
      <w:r w:rsidRPr="00367DF9">
        <w:rPr>
          <w:rFonts w:asciiTheme="majorHAnsi" w:hAnsiTheme="majorHAnsi" w:cstheme="majorHAnsi"/>
          <w:sz w:val="22"/>
          <w:szCs w:val="22"/>
        </w:rPr>
        <w:t>We</w:t>
      </w:r>
      <w:r w:rsidR="00EF6687" w:rsidRPr="00367DF9">
        <w:rPr>
          <w:rFonts w:asciiTheme="majorHAnsi" w:hAnsiTheme="majorHAnsi" w:cstheme="majorHAnsi"/>
          <w:sz w:val="22"/>
          <w:szCs w:val="22"/>
        </w:rPr>
        <w:t xml:space="preserve"> </w:t>
      </w:r>
      <w:r w:rsidR="00410F41" w:rsidRPr="00367DF9">
        <w:rPr>
          <w:rFonts w:asciiTheme="majorHAnsi" w:hAnsiTheme="majorHAnsi" w:cstheme="majorHAnsi"/>
          <w:sz w:val="22"/>
          <w:szCs w:val="22"/>
        </w:rPr>
        <w:t>developed</w:t>
      </w:r>
      <w:r w:rsidR="00EF6687" w:rsidRPr="00367DF9">
        <w:rPr>
          <w:rFonts w:asciiTheme="majorHAnsi" w:hAnsiTheme="majorHAnsi" w:cstheme="majorHAnsi"/>
          <w:sz w:val="22"/>
          <w:szCs w:val="22"/>
        </w:rPr>
        <w:t xml:space="preserve"> a</w:t>
      </w:r>
      <w:r w:rsidRPr="00367DF9">
        <w:rPr>
          <w:rFonts w:asciiTheme="majorHAnsi" w:hAnsiTheme="majorHAnsi" w:cstheme="majorHAnsi"/>
          <w:sz w:val="22"/>
          <w:szCs w:val="22"/>
        </w:rPr>
        <w:t xml:space="preserve"> prediction model using the DCCG database </w:t>
      </w:r>
      <w:r w:rsidR="00EF6687" w:rsidRPr="00367DF9">
        <w:rPr>
          <w:rFonts w:asciiTheme="majorHAnsi" w:hAnsiTheme="majorHAnsi" w:cstheme="majorHAnsi"/>
          <w:sz w:val="22"/>
          <w:szCs w:val="22"/>
        </w:rPr>
        <w:t xml:space="preserve">to predict </w:t>
      </w:r>
      <w:r w:rsidR="00410F41" w:rsidRPr="00367DF9">
        <w:rPr>
          <w:rFonts w:asciiTheme="majorHAnsi" w:hAnsiTheme="majorHAnsi" w:cstheme="majorHAnsi"/>
          <w:sz w:val="22"/>
          <w:szCs w:val="22"/>
        </w:rPr>
        <w:t xml:space="preserve">the risk of developing </w:t>
      </w:r>
      <w:r w:rsidRPr="00367DF9">
        <w:rPr>
          <w:rFonts w:asciiTheme="majorHAnsi" w:hAnsiTheme="majorHAnsi" w:cstheme="majorHAnsi"/>
          <w:sz w:val="22"/>
          <w:szCs w:val="22"/>
        </w:rPr>
        <w:t xml:space="preserve">postoperative complications </w:t>
      </w:r>
      <w:proofErr w:type="spellStart"/>
      <w:r w:rsidRPr="00367DF9">
        <w:rPr>
          <w:rFonts w:asciiTheme="majorHAnsi" w:hAnsiTheme="majorHAnsi" w:cstheme="majorHAnsi"/>
          <w:sz w:val="22"/>
          <w:szCs w:val="22"/>
        </w:rPr>
        <w:t>Clavien-Dindo</w:t>
      </w:r>
      <w:proofErr w:type="spellEnd"/>
      <w:r w:rsidRPr="00367DF9">
        <w:rPr>
          <w:rFonts w:asciiTheme="majorHAnsi" w:hAnsiTheme="majorHAnsi" w:cstheme="majorHAnsi"/>
          <w:sz w:val="22"/>
          <w:szCs w:val="22"/>
        </w:rPr>
        <w:t xml:space="preserve"> ≥ 3B for patients undergoing colorectal cancer surgery. </w:t>
      </w:r>
    </w:p>
    <w:p w14:paraId="06C6F1CC" w14:textId="77777777" w:rsidR="00F972D1" w:rsidRPr="00F972D1" w:rsidRDefault="00F972D1" w:rsidP="00F972D1">
      <w:pPr>
        <w:rPr>
          <w:rFonts w:asciiTheme="majorHAnsi" w:hAnsiTheme="majorHAnsi" w:cstheme="majorHAnsi"/>
          <w:sz w:val="22"/>
          <w:szCs w:val="22"/>
        </w:rPr>
      </w:pPr>
    </w:p>
    <w:p w14:paraId="00000007" w14:textId="5FA71231" w:rsidR="005F085B" w:rsidRPr="00367DF9" w:rsidRDefault="00374980">
      <w:pPr>
        <w:pBdr>
          <w:top w:val="nil"/>
          <w:left w:val="nil"/>
          <w:bottom w:val="nil"/>
          <w:right w:val="nil"/>
          <w:between w:val="nil"/>
        </w:pBdr>
        <w:spacing w:after="120"/>
        <w:jc w:val="both"/>
        <w:rPr>
          <w:rFonts w:asciiTheme="majorHAnsi" w:eastAsia="Calibri" w:hAnsiTheme="majorHAnsi" w:cstheme="majorHAnsi"/>
          <w:sz w:val="22"/>
          <w:szCs w:val="22"/>
        </w:rPr>
      </w:pPr>
      <w:r w:rsidRPr="00367DF9">
        <w:rPr>
          <w:rFonts w:asciiTheme="majorHAnsi" w:eastAsia="Calibri" w:hAnsiTheme="majorHAnsi" w:cstheme="majorHAnsi"/>
          <w:b/>
          <w:sz w:val="22"/>
          <w:szCs w:val="22"/>
        </w:rPr>
        <w:t>Methods</w:t>
      </w:r>
    </w:p>
    <w:p w14:paraId="1B1FC5F1" w14:textId="556B4DA4" w:rsidR="00402B21" w:rsidRPr="00367DF9" w:rsidRDefault="00402B21" w:rsidP="00402B21">
      <w:pPr>
        <w:keepNext/>
        <w:pBdr>
          <w:top w:val="nil"/>
          <w:left w:val="nil"/>
          <w:bottom w:val="nil"/>
          <w:right w:val="nil"/>
          <w:between w:val="nil"/>
        </w:pBdr>
        <w:spacing w:before="120" w:after="120"/>
        <w:jc w:val="both"/>
        <w:rPr>
          <w:rFonts w:asciiTheme="majorHAnsi" w:eastAsia="Calibri" w:hAnsiTheme="majorHAnsi" w:cstheme="majorHAnsi"/>
          <w:sz w:val="22"/>
          <w:szCs w:val="22"/>
        </w:rPr>
      </w:pPr>
      <w:r w:rsidRPr="00367DF9">
        <w:rPr>
          <w:rFonts w:asciiTheme="majorHAnsi" w:eastAsia="Calibri" w:hAnsiTheme="majorHAnsi" w:cstheme="majorHAnsi"/>
          <w:sz w:val="22"/>
          <w:szCs w:val="22"/>
        </w:rPr>
        <w:t>A C</w:t>
      </w:r>
      <w:r w:rsidR="00EF6687" w:rsidRPr="00367DF9">
        <w:rPr>
          <w:rFonts w:asciiTheme="majorHAnsi" w:eastAsia="Calibri" w:hAnsiTheme="majorHAnsi" w:cstheme="majorHAnsi"/>
          <w:sz w:val="22"/>
          <w:szCs w:val="22"/>
        </w:rPr>
        <w:t xml:space="preserve">ommon </w:t>
      </w:r>
      <w:r w:rsidRPr="00367DF9">
        <w:rPr>
          <w:rFonts w:asciiTheme="majorHAnsi" w:eastAsia="Calibri" w:hAnsiTheme="majorHAnsi" w:cstheme="majorHAnsi"/>
          <w:sz w:val="22"/>
          <w:szCs w:val="22"/>
        </w:rPr>
        <w:t>D</w:t>
      </w:r>
      <w:r w:rsidR="00EF6687" w:rsidRPr="00367DF9">
        <w:rPr>
          <w:rFonts w:asciiTheme="majorHAnsi" w:eastAsia="Calibri" w:hAnsiTheme="majorHAnsi" w:cstheme="majorHAnsi"/>
          <w:sz w:val="22"/>
          <w:szCs w:val="22"/>
        </w:rPr>
        <w:t xml:space="preserve">ata </w:t>
      </w:r>
      <w:r w:rsidRPr="00367DF9">
        <w:rPr>
          <w:rFonts w:asciiTheme="majorHAnsi" w:eastAsia="Calibri" w:hAnsiTheme="majorHAnsi" w:cstheme="majorHAnsi"/>
          <w:sz w:val="22"/>
          <w:szCs w:val="22"/>
        </w:rPr>
        <w:t>M</w:t>
      </w:r>
      <w:r w:rsidR="00EF6687" w:rsidRPr="00367DF9">
        <w:rPr>
          <w:rFonts w:asciiTheme="majorHAnsi" w:eastAsia="Calibri" w:hAnsiTheme="majorHAnsi" w:cstheme="majorHAnsi"/>
          <w:sz w:val="22"/>
          <w:szCs w:val="22"/>
        </w:rPr>
        <w:t>odel</w:t>
      </w:r>
      <w:r w:rsidRPr="00367DF9">
        <w:rPr>
          <w:rFonts w:asciiTheme="majorHAnsi" w:eastAsia="Calibri" w:hAnsiTheme="majorHAnsi" w:cstheme="majorHAnsi"/>
          <w:sz w:val="22"/>
          <w:szCs w:val="22"/>
        </w:rPr>
        <w:t xml:space="preserve"> was built </w:t>
      </w:r>
      <w:r w:rsidR="00EF6687" w:rsidRPr="00367DF9">
        <w:rPr>
          <w:rFonts w:asciiTheme="majorHAnsi" w:eastAsia="Calibri" w:hAnsiTheme="majorHAnsi" w:cstheme="majorHAnsi"/>
          <w:sz w:val="22"/>
          <w:szCs w:val="22"/>
        </w:rPr>
        <w:t xml:space="preserve">using </w:t>
      </w:r>
      <w:r w:rsidRPr="00367DF9">
        <w:rPr>
          <w:rFonts w:asciiTheme="majorHAnsi" w:eastAsia="Calibri" w:hAnsiTheme="majorHAnsi" w:cstheme="majorHAnsi"/>
          <w:sz w:val="22"/>
          <w:szCs w:val="22"/>
        </w:rPr>
        <w:t xml:space="preserve">all data from the validated Danish Colorectal Cancer Group (DCCG) Database, </w:t>
      </w:r>
      <w:r w:rsidR="007B13B5" w:rsidRPr="00367DF9">
        <w:rPr>
          <w:rFonts w:asciiTheme="majorHAnsi" w:eastAsia="Calibri" w:hAnsiTheme="majorHAnsi" w:cstheme="majorHAnsi"/>
          <w:sz w:val="22"/>
          <w:szCs w:val="22"/>
        </w:rPr>
        <w:t xml:space="preserve">a quality assurance database </w:t>
      </w:r>
      <w:r w:rsidRPr="00367DF9">
        <w:rPr>
          <w:rFonts w:asciiTheme="majorHAnsi" w:eastAsia="Calibri" w:hAnsiTheme="majorHAnsi" w:cstheme="majorHAnsi"/>
          <w:sz w:val="22"/>
          <w:szCs w:val="22"/>
        </w:rPr>
        <w:t>containing all colorectal cancer surgeries in Denmark since 2001.</w:t>
      </w:r>
    </w:p>
    <w:p w14:paraId="0CEB2196" w14:textId="5DCEABF6" w:rsidR="00EF6687" w:rsidRPr="00F972D1" w:rsidRDefault="00402B21" w:rsidP="00402B21">
      <w:pPr>
        <w:keepNext/>
        <w:pBdr>
          <w:top w:val="nil"/>
          <w:left w:val="nil"/>
          <w:bottom w:val="nil"/>
          <w:right w:val="nil"/>
          <w:between w:val="nil"/>
        </w:pBdr>
        <w:spacing w:before="120" w:after="120"/>
        <w:jc w:val="both"/>
        <w:rPr>
          <w:rFonts w:asciiTheme="majorHAnsi" w:eastAsia="Calibri" w:hAnsiTheme="majorHAnsi" w:cstheme="majorBidi"/>
          <w:sz w:val="22"/>
          <w:szCs w:val="22"/>
        </w:rPr>
      </w:pPr>
      <w:r w:rsidRPr="00367DF9">
        <w:rPr>
          <w:rFonts w:asciiTheme="majorHAnsi" w:eastAsia="Calibri" w:hAnsiTheme="majorHAnsi" w:cstheme="majorBidi"/>
          <w:sz w:val="22"/>
          <w:szCs w:val="22"/>
        </w:rPr>
        <w:t xml:space="preserve">ATLAS, R and the </w:t>
      </w:r>
      <w:r w:rsidR="00EF6687" w:rsidRPr="00367DF9">
        <w:rPr>
          <w:rFonts w:asciiTheme="majorHAnsi" w:eastAsia="Calibri" w:hAnsiTheme="majorHAnsi" w:cstheme="majorBidi"/>
          <w:sz w:val="22"/>
          <w:szCs w:val="22"/>
        </w:rPr>
        <w:t>‘</w:t>
      </w:r>
      <w:r w:rsidRPr="00367DF9">
        <w:rPr>
          <w:rFonts w:asciiTheme="majorHAnsi" w:eastAsia="Calibri" w:hAnsiTheme="majorHAnsi" w:cstheme="majorBidi"/>
          <w:sz w:val="22"/>
          <w:szCs w:val="22"/>
        </w:rPr>
        <w:t>OHDSI</w:t>
      </w:r>
      <w:r w:rsidR="00EF6687" w:rsidRPr="00367DF9">
        <w:rPr>
          <w:rFonts w:asciiTheme="majorHAnsi" w:eastAsia="Calibri" w:hAnsiTheme="majorHAnsi" w:cstheme="majorBidi"/>
          <w:sz w:val="22"/>
          <w:szCs w:val="22"/>
        </w:rPr>
        <w:t>/</w:t>
      </w:r>
      <w:proofErr w:type="spellStart"/>
      <w:r w:rsidRPr="00367DF9">
        <w:rPr>
          <w:rFonts w:asciiTheme="majorHAnsi" w:eastAsia="Calibri" w:hAnsiTheme="majorHAnsi" w:cstheme="majorBidi"/>
          <w:sz w:val="22"/>
          <w:szCs w:val="22"/>
        </w:rPr>
        <w:t>Patient</w:t>
      </w:r>
      <w:r w:rsidR="00EF6687" w:rsidRPr="00367DF9">
        <w:rPr>
          <w:rFonts w:asciiTheme="majorHAnsi" w:eastAsia="Calibri" w:hAnsiTheme="majorHAnsi" w:cstheme="majorBidi"/>
          <w:sz w:val="22"/>
          <w:szCs w:val="22"/>
        </w:rPr>
        <w:t>L</w:t>
      </w:r>
      <w:r w:rsidRPr="00367DF9">
        <w:rPr>
          <w:rFonts w:asciiTheme="majorHAnsi" w:eastAsia="Calibri" w:hAnsiTheme="majorHAnsi" w:cstheme="majorBidi"/>
          <w:sz w:val="22"/>
          <w:szCs w:val="22"/>
        </w:rPr>
        <w:t>evelPrediction</w:t>
      </w:r>
      <w:proofErr w:type="spellEnd"/>
      <w:r w:rsidR="00EF6687" w:rsidRPr="00367DF9">
        <w:rPr>
          <w:rFonts w:asciiTheme="majorHAnsi" w:eastAsia="Calibri" w:hAnsiTheme="majorHAnsi" w:cstheme="majorBidi"/>
          <w:sz w:val="22"/>
          <w:szCs w:val="22"/>
        </w:rPr>
        <w:t>’</w:t>
      </w:r>
      <w:r w:rsidRPr="00367DF9">
        <w:rPr>
          <w:rFonts w:asciiTheme="majorHAnsi" w:eastAsia="Calibri" w:hAnsiTheme="majorHAnsi" w:cstheme="majorBidi"/>
          <w:sz w:val="22"/>
          <w:szCs w:val="22"/>
        </w:rPr>
        <w:t xml:space="preserve"> package w</w:t>
      </w:r>
      <w:r w:rsidR="007B13B5" w:rsidRPr="00367DF9">
        <w:rPr>
          <w:rFonts w:asciiTheme="majorHAnsi" w:eastAsia="Calibri" w:hAnsiTheme="majorHAnsi" w:cstheme="majorBidi"/>
          <w:sz w:val="22"/>
          <w:szCs w:val="22"/>
        </w:rPr>
        <w:t>ere</w:t>
      </w:r>
      <w:r w:rsidRPr="00367DF9">
        <w:rPr>
          <w:rFonts w:asciiTheme="majorHAnsi" w:eastAsia="Calibri" w:hAnsiTheme="majorHAnsi" w:cstheme="majorBidi"/>
          <w:sz w:val="22"/>
          <w:szCs w:val="22"/>
        </w:rPr>
        <w:t xml:space="preserve"> used to create a prediction model using preoperatively available variables to predict</w:t>
      </w:r>
      <w:r w:rsidR="007B13B5" w:rsidRPr="00367DF9">
        <w:rPr>
          <w:rFonts w:asciiTheme="majorHAnsi" w:eastAsia="Calibri" w:hAnsiTheme="majorHAnsi" w:cstheme="majorBidi"/>
          <w:sz w:val="22"/>
          <w:szCs w:val="22"/>
        </w:rPr>
        <w:t xml:space="preserve"> postoperative </w:t>
      </w:r>
      <w:r w:rsidRPr="00367DF9">
        <w:rPr>
          <w:rFonts w:asciiTheme="majorHAnsi" w:eastAsia="Calibri" w:hAnsiTheme="majorHAnsi" w:cstheme="majorBidi"/>
          <w:sz w:val="22"/>
          <w:szCs w:val="22"/>
        </w:rPr>
        <w:t xml:space="preserve">complications 30 days after colorectal cancer surgery. </w:t>
      </w:r>
      <w:r w:rsidR="0042066B">
        <w:rPr>
          <w:rFonts w:asciiTheme="majorHAnsi" w:eastAsia="Calibri" w:hAnsiTheme="majorHAnsi" w:cstheme="majorBidi"/>
          <w:sz w:val="22"/>
          <w:szCs w:val="22"/>
        </w:rPr>
        <w:t xml:space="preserve">Preoperative variable domains comprised conditions, measurements, procedures, observations and custom covariates </w:t>
      </w:r>
      <w:r w:rsidR="00797B51">
        <w:rPr>
          <w:rFonts w:asciiTheme="majorHAnsi" w:eastAsia="Calibri" w:hAnsiTheme="majorHAnsi" w:cstheme="majorBidi"/>
          <w:sz w:val="22"/>
          <w:szCs w:val="22"/>
        </w:rPr>
        <w:t>of</w:t>
      </w:r>
      <w:r w:rsidR="0042066B">
        <w:rPr>
          <w:rFonts w:asciiTheme="majorHAnsi" w:eastAsia="Calibri" w:hAnsiTheme="majorHAnsi" w:cstheme="majorBidi"/>
          <w:sz w:val="22"/>
          <w:szCs w:val="22"/>
        </w:rPr>
        <w:t xml:space="preserve"> age groups and specific scales (e.g. ASA and Performance Score). </w:t>
      </w:r>
      <w:r w:rsidR="00140E69" w:rsidRPr="00367DF9">
        <w:rPr>
          <w:rFonts w:asciiTheme="majorHAnsi" w:eastAsia="Calibri" w:hAnsiTheme="majorHAnsi" w:cstheme="majorBidi"/>
          <w:sz w:val="22"/>
          <w:szCs w:val="22"/>
        </w:rPr>
        <w:t xml:space="preserve">Postoperative complications of </w:t>
      </w:r>
      <w:proofErr w:type="spellStart"/>
      <w:r w:rsidR="00140E69" w:rsidRPr="00367DF9">
        <w:rPr>
          <w:rFonts w:asciiTheme="majorHAnsi" w:eastAsia="Calibri" w:hAnsiTheme="majorHAnsi" w:cstheme="majorBidi"/>
          <w:sz w:val="22"/>
          <w:szCs w:val="22"/>
        </w:rPr>
        <w:t>Clavien-Dindo</w:t>
      </w:r>
      <w:proofErr w:type="spellEnd"/>
      <w:r w:rsidR="00140E69" w:rsidRPr="00367DF9">
        <w:rPr>
          <w:rFonts w:asciiTheme="majorHAnsi" w:eastAsia="Calibri" w:hAnsiTheme="majorHAnsi" w:cstheme="majorBidi"/>
          <w:sz w:val="22"/>
          <w:szCs w:val="22"/>
        </w:rPr>
        <w:t xml:space="preserve"> Grade 3B or higher were considered an outcome event. Data was split by person, and 25% of data were used for testing. </w:t>
      </w:r>
      <w:r w:rsidRPr="00367DF9">
        <w:rPr>
          <w:rFonts w:asciiTheme="majorHAnsi" w:eastAsia="Calibri" w:hAnsiTheme="majorHAnsi" w:cstheme="majorBidi"/>
          <w:sz w:val="22"/>
          <w:szCs w:val="22"/>
        </w:rPr>
        <w:t>Different models were constructed, wherein Lasso Logistic Regression was selected due to it performing best</w:t>
      </w:r>
      <w:r w:rsidR="00140E69" w:rsidRPr="00367DF9">
        <w:rPr>
          <w:rFonts w:asciiTheme="majorHAnsi" w:eastAsia="Calibri" w:hAnsiTheme="majorHAnsi" w:cstheme="majorBidi"/>
          <w:sz w:val="22"/>
          <w:szCs w:val="22"/>
        </w:rPr>
        <w:t>.</w:t>
      </w:r>
    </w:p>
    <w:p w14:paraId="00000009" w14:textId="37267CF8" w:rsidR="005F085B" w:rsidRPr="00367DF9" w:rsidRDefault="00374980">
      <w:pPr>
        <w:keepNext/>
        <w:pBdr>
          <w:top w:val="nil"/>
          <w:left w:val="nil"/>
          <w:bottom w:val="nil"/>
          <w:right w:val="nil"/>
          <w:between w:val="nil"/>
        </w:pBdr>
        <w:spacing w:before="120" w:after="120"/>
        <w:jc w:val="both"/>
        <w:rPr>
          <w:rFonts w:ascii="Calibri" w:eastAsia="Calibri" w:hAnsi="Calibri" w:cs="Calibri"/>
          <w:b/>
          <w:color w:val="000000"/>
          <w:sz w:val="22"/>
          <w:szCs w:val="22"/>
        </w:rPr>
      </w:pPr>
      <w:r w:rsidRPr="00367DF9">
        <w:rPr>
          <w:rFonts w:ascii="Calibri" w:eastAsia="Calibri" w:hAnsi="Calibri" w:cs="Calibri"/>
          <w:b/>
          <w:sz w:val="22"/>
          <w:szCs w:val="22"/>
        </w:rPr>
        <w:t>Resul</w:t>
      </w:r>
      <w:r w:rsidR="00FD3F8D">
        <w:rPr>
          <w:rFonts w:ascii="Calibri" w:eastAsia="Calibri" w:hAnsi="Calibri" w:cs="Calibri"/>
          <w:b/>
          <w:sz w:val="22"/>
          <w:szCs w:val="22"/>
        </w:rPr>
        <w:t>ts</w:t>
      </w:r>
    </w:p>
    <w:p w14:paraId="58F039D7" w14:textId="57BFEAF1" w:rsidR="00402B21" w:rsidRPr="00367DF9" w:rsidRDefault="00402B21" w:rsidP="007B13B5">
      <w:pPr>
        <w:pBdr>
          <w:top w:val="nil"/>
          <w:left w:val="nil"/>
          <w:bottom w:val="nil"/>
          <w:right w:val="nil"/>
          <w:between w:val="nil"/>
        </w:pBdr>
        <w:spacing w:after="120"/>
        <w:rPr>
          <w:rFonts w:ascii="Calibri" w:eastAsia="Calibri" w:hAnsi="Calibri" w:cs="Calibri"/>
          <w:color w:val="000000"/>
          <w:sz w:val="22"/>
          <w:szCs w:val="22"/>
        </w:rPr>
      </w:pPr>
      <w:r w:rsidRPr="00367DF9">
        <w:rPr>
          <w:rFonts w:ascii="Calibri" w:eastAsia="Calibri" w:hAnsi="Calibri" w:cs="Calibri"/>
          <w:color w:val="000000"/>
          <w:sz w:val="22"/>
          <w:szCs w:val="22"/>
        </w:rPr>
        <w:t xml:space="preserve">From 2014-2019, 23.738 patients underwent surgery for colorectal cancer in Denmark </w:t>
      </w:r>
      <w:r w:rsidR="007B13B5" w:rsidRPr="00367DF9">
        <w:rPr>
          <w:rFonts w:ascii="Calibri" w:eastAsia="Calibri" w:hAnsi="Calibri" w:cs="Calibri"/>
          <w:color w:val="000000"/>
          <w:sz w:val="22"/>
          <w:szCs w:val="22"/>
        </w:rPr>
        <w:t>and were recorded in the DCCG database.</w:t>
      </w:r>
    </w:p>
    <w:p w14:paraId="12E7E13F" w14:textId="26264E89" w:rsidR="00402B21" w:rsidRPr="006C0F7A" w:rsidRDefault="00402B21" w:rsidP="00B044B4">
      <w:pPr>
        <w:pBdr>
          <w:top w:val="nil"/>
          <w:left w:val="nil"/>
          <w:bottom w:val="nil"/>
          <w:right w:val="nil"/>
          <w:between w:val="nil"/>
        </w:pBdr>
        <w:spacing w:after="120"/>
        <w:rPr>
          <w:rFonts w:ascii="Calibri" w:eastAsia="Calibri" w:hAnsi="Calibri" w:cs="Calibri"/>
          <w:color w:val="000000"/>
          <w:sz w:val="22"/>
          <w:szCs w:val="22"/>
        </w:rPr>
      </w:pPr>
      <w:r w:rsidRPr="006C0F7A">
        <w:rPr>
          <w:rFonts w:ascii="Calibri" w:eastAsia="Calibri" w:hAnsi="Calibri" w:cs="Calibri"/>
          <w:color w:val="000000" w:themeColor="text1"/>
          <w:sz w:val="22"/>
          <w:szCs w:val="22"/>
        </w:rPr>
        <w:t xml:space="preserve">2.781 patients (11.7%) experienced a </w:t>
      </w:r>
      <w:proofErr w:type="spellStart"/>
      <w:r w:rsidRPr="006C0F7A">
        <w:rPr>
          <w:rFonts w:ascii="Calibri" w:eastAsia="Calibri" w:hAnsi="Calibri" w:cs="Calibri"/>
          <w:color w:val="000000" w:themeColor="text1"/>
          <w:sz w:val="22"/>
          <w:szCs w:val="22"/>
        </w:rPr>
        <w:t>Clavien-Dindo</w:t>
      </w:r>
      <w:proofErr w:type="spellEnd"/>
      <w:r w:rsidRPr="006C0F7A">
        <w:rPr>
          <w:rFonts w:ascii="Calibri" w:eastAsia="Calibri" w:hAnsi="Calibri" w:cs="Calibri"/>
          <w:color w:val="000000" w:themeColor="text1"/>
          <w:sz w:val="22"/>
          <w:szCs w:val="22"/>
        </w:rPr>
        <w:t xml:space="preserve"> complication grade ≥ 3B</w:t>
      </w:r>
      <w:r w:rsidR="00B044B4" w:rsidRPr="006C0F7A">
        <w:rPr>
          <w:rFonts w:ascii="Calibri" w:eastAsia="Calibri" w:hAnsi="Calibri" w:cs="Calibri"/>
          <w:color w:val="000000" w:themeColor="text1"/>
          <w:sz w:val="22"/>
          <w:szCs w:val="22"/>
        </w:rPr>
        <w:t>.</w:t>
      </w:r>
      <w:r w:rsidRPr="006C0F7A">
        <w:rPr>
          <w:rFonts w:ascii="Calibri" w:eastAsia="Calibri" w:hAnsi="Calibri" w:cs="Calibri"/>
          <w:color w:val="000000" w:themeColor="text1"/>
          <w:sz w:val="22"/>
          <w:szCs w:val="22"/>
        </w:rPr>
        <w:t xml:space="preserve"> The PLP was able to predict patients at elevated risk </w:t>
      </w:r>
      <w:r w:rsidR="00B044B4" w:rsidRPr="006C0F7A">
        <w:rPr>
          <w:rFonts w:ascii="Calibri" w:eastAsia="Calibri" w:hAnsi="Calibri" w:cs="Calibri"/>
          <w:color w:val="000000" w:themeColor="text1"/>
          <w:sz w:val="22"/>
          <w:szCs w:val="22"/>
        </w:rPr>
        <w:t xml:space="preserve">for postoperative complications </w:t>
      </w:r>
      <w:r w:rsidRPr="006C0F7A">
        <w:rPr>
          <w:rFonts w:ascii="Calibri" w:eastAsia="Calibri" w:hAnsi="Calibri" w:cs="Calibri"/>
          <w:color w:val="000000" w:themeColor="text1"/>
          <w:sz w:val="22"/>
          <w:szCs w:val="22"/>
        </w:rPr>
        <w:t xml:space="preserve">using </w:t>
      </w:r>
      <w:r w:rsidR="00A13134" w:rsidRPr="006C0F7A">
        <w:rPr>
          <w:rFonts w:ascii="Calibri" w:eastAsia="Calibri" w:hAnsi="Calibri" w:cs="Calibri"/>
          <w:color w:val="000000" w:themeColor="text1"/>
          <w:sz w:val="22"/>
          <w:szCs w:val="22"/>
        </w:rPr>
        <w:t>77</w:t>
      </w:r>
      <w:r w:rsidRPr="006C0F7A">
        <w:rPr>
          <w:rFonts w:ascii="Calibri" w:eastAsia="Calibri" w:hAnsi="Calibri" w:cs="Calibri"/>
          <w:color w:val="000000" w:themeColor="text1"/>
          <w:sz w:val="22"/>
          <w:szCs w:val="22"/>
        </w:rPr>
        <w:t xml:space="preserve"> out of </w:t>
      </w:r>
      <w:r w:rsidR="00583DAD" w:rsidRPr="006C0F7A">
        <w:rPr>
          <w:rFonts w:ascii="Calibri" w:eastAsia="Calibri" w:hAnsi="Calibri" w:cs="Calibri"/>
          <w:sz w:val="22"/>
          <w:szCs w:val="22"/>
        </w:rPr>
        <w:t>156</w:t>
      </w:r>
      <w:r w:rsidRPr="006C0F7A">
        <w:rPr>
          <w:rFonts w:ascii="Calibri" w:eastAsia="Calibri" w:hAnsi="Calibri" w:cs="Calibri"/>
          <w:sz w:val="22"/>
          <w:szCs w:val="22"/>
        </w:rPr>
        <w:t xml:space="preserve"> </w:t>
      </w:r>
      <w:r w:rsidRPr="006C0F7A">
        <w:rPr>
          <w:rFonts w:ascii="Calibri" w:eastAsia="Calibri" w:hAnsi="Calibri" w:cs="Calibri"/>
          <w:color w:val="000000" w:themeColor="text1"/>
          <w:sz w:val="22"/>
          <w:szCs w:val="22"/>
        </w:rPr>
        <w:t xml:space="preserve">preoperatively known </w:t>
      </w:r>
      <w:r w:rsidRPr="006C0F7A">
        <w:rPr>
          <w:rFonts w:asciiTheme="majorHAnsi" w:eastAsia="Calibri" w:hAnsiTheme="majorHAnsi" w:cstheme="majorBidi"/>
          <w:color w:val="000000" w:themeColor="text1"/>
          <w:sz w:val="22"/>
          <w:szCs w:val="22"/>
        </w:rPr>
        <w:t xml:space="preserve">covariates with </w:t>
      </w:r>
      <w:r w:rsidR="00A13134" w:rsidRPr="006C0F7A">
        <w:rPr>
          <w:rFonts w:asciiTheme="majorHAnsi" w:hAnsiTheme="majorHAnsi" w:cstheme="majorBidi"/>
          <w:sz w:val="22"/>
          <w:szCs w:val="22"/>
        </w:rPr>
        <w:t>AUC = 0.6</w:t>
      </w:r>
      <w:r w:rsidR="7A85D1B9" w:rsidRPr="006C0F7A">
        <w:rPr>
          <w:rFonts w:asciiTheme="majorHAnsi" w:hAnsiTheme="majorHAnsi" w:cstheme="majorBidi"/>
          <w:sz w:val="22"/>
          <w:szCs w:val="22"/>
        </w:rPr>
        <w:t>75</w:t>
      </w:r>
      <w:r w:rsidR="00A13134" w:rsidRPr="006C0F7A">
        <w:rPr>
          <w:rFonts w:asciiTheme="majorHAnsi" w:hAnsiTheme="majorHAnsi" w:cstheme="majorBidi"/>
          <w:sz w:val="22"/>
          <w:szCs w:val="22"/>
        </w:rPr>
        <w:t xml:space="preserve"> (0.6</w:t>
      </w:r>
      <w:r w:rsidR="5C56E13C" w:rsidRPr="006C0F7A">
        <w:rPr>
          <w:rFonts w:asciiTheme="majorHAnsi" w:hAnsiTheme="majorHAnsi" w:cstheme="majorBidi"/>
          <w:sz w:val="22"/>
          <w:szCs w:val="22"/>
        </w:rPr>
        <w:t>54</w:t>
      </w:r>
      <w:r w:rsidR="00A13134" w:rsidRPr="006C0F7A">
        <w:rPr>
          <w:rFonts w:asciiTheme="majorHAnsi" w:hAnsiTheme="majorHAnsi" w:cstheme="majorBidi"/>
          <w:sz w:val="22"/>
          <w:szCs w:val="22"/>
        </w:rPr>
        <w:t>-0.6</w:t>
      </w:r>
      <w:r w:rsidR="144C18E9" w:rsidRPr="006C0F7A">
        <w:rPr>
          <w:rFonts w:asciiTheme="majorHAnsi" w:hAnsiTheme="majorHAnsi" w:cstheme="majorBidi"/>
          <w:sz w:val="22"/>
          <w:szCs w:val="22"/>
        </w:rPr>
        <w:t>79</w:t>
      </w:r>
      <w:r w:rsidR="00A13134" w:rsidRPr="006C0F7A">
        <w:rPr>
          <w:rFonts w:asciiTheme="majorHAnsi" w:hAnsiTheme="majorHAnsi" w:cstheme="majorBidi"/>
          <w:sz w:val="22"/>
          <w:szCs w:val="22"/>
        </w:rPr>
        <w:t>,</w:t>
      </w:r>
      <w:r w:rsidR="00A13134" w:rsidRPr="006C0F7A">
        <w:rPr>
          <w:sz w:val="22"/>
          <w:szCs w:val="22"/>
        </w:rPr>
        <w:t xml:space="preserve"> </w:t>
      </w:r>
      <w:r w:rsidRPr="006C0F7A">
        <w:rPr>
          <w:rFonts w:ascii="Calibri" w:eastAsia="Calibri" w:hAnsi="Calibri" w:cs="Calibri"/>
          <w:color w:val="000000" w:themeColor="text1"/>
          <w:sz w:val="22"/>
          <w:szCs w:val="22"/>
        </w:rPr>
        <w:t>and AUPRC = 0.22</w:t>
      </w:r>
      <w:r w:rsidR="00A83EAC" w:rsidRPr="006C0F7A">
        <w:rPr>
          <w:rFonts w:ascii="Calibri" w:eastAsia="Calibri" w:hAnsi="Calibri" w:cs="Calibri"/>
          <w:color w:val="000000" w:themeColor="text1"/>
          <w:sz w:val="22"/>
          <w:szCs w:val="22"/>
        </w:rPr>
        <w:t>7</w:t>
      </w:r>
      <w:r w:rsidR="000F1FF6" w:rsidRPr="006C0F7A">
        <w:rPr>
          <w:rFonts w:ascii="Calibri" w:eastAsia="Calibri" w:hAnsi="Calibri" w:cs="Calibri"/>
          <w:color w:val="000000" w:themeColor="text1"/>
          <w:sz w:val="22"/>
          <w:szCs w:val="22"/>
        </w:rPr>
        <w:t>. The calibration plot of the testing set can be seen in figure 2</w:t>
      </w:r>
      <w:r w:rsidR="00A13134" w:rsidRPr="006C0F7A">
        <w:rPr>
          <w:rFonts w:ascii="Calibri" w:eastAsia="Calibri" w:hAnsi="Calibri" w:cs="Calibri"/>
          <w:color w:val="000000" w:themeColor="text1"/>
          <w:sz w:val="22"/>
          <w:szCs w:val="22"/>
        </w:rPr>
        <w:t xml:space="preserve">, while the prevalence of variables with and without the outcome can be seen in figure 3. </w:t>
      </w:r>
      <w:r w:rsidR="006C0F7A" w:rsidRPr="006C0F7A">
        <w:rPr>
          <w:rFonts w:asciiTheme="majorHAnsi" w:hAnsiTheme="majorHAnsi" w:cstheme="majorHAnsi"/>
          <w:sz w:val="22"/>
          <w:szCs w:val="22"/>
        </w:rPr>
        <w:t xml:space="preserve">Calibration of the testing set was good, with </w:t>
      </w:r>
      <w:proofErr w:type="spellStart"/>
      <w:r w:rsidR="006C0F7A" w:rsidRPr="006C0F7A">
        <w:rPr>
          <w:rFonts w:asciiTheme="majorHAnsi" w:hAnsiTheme="majorHAnsi" w:cstheme="majorHAnsi"/>
          <w:sz w:val="22"/>
          <w:szCs w:val="22"/>
        </w:rPr>
        <w:t>CalibrationInLarge</w:t>
      </w:r>
      <w:proofErr w:type="spellEnd"/>
      <w:r w:rsidR="006C0F7A" w:rsidRPr="006C0F7A">
        <w:rPr>
          <w:rFonts w:asciiTheme="majorHAnsi" w:hAnsiTheme="majorHAnsi" w:cstheme="majorHAnsi"/>
          <w:sz w:val="22"/>
          <w:szCs w:val="22"/>
        </w:rPr>
        <w:t xml:space="preserve"> 1.00 (ratio of mean predicted risk/mean observed risk), </w:t>
      </w:r>
      <w:proofErr w:type="spellStart"/>
      <w:r w:rsidR="006C0F7A" w:rsidRPr="006C0F7A">
        <w:rPr>
          <w:rFonts w:asciiTheme="majorHAnsi" w:hAnsiTheme="majorHAnsi" w:cstheme="majorHAnsi"/>
          <w:sz w:val="22"/>
          <w:szCs w:val="22"/>
        </w:rPr>
        <w:t>CalibrationIntercept</w:t>
      </w:r>
      <w:proofErr w:type="spellEnd"/>
      <w:r w:rsidR="006C0F7A" w:rsidRPr="006C0F7A">
        <w:rPr>
          <w:rFonts w:asciiTheme="majorHAnsi" w:hAnsiTheme="majorHAnsi" w:cstheme="majorHAnsi"/>
          <w:sz w:val="22"/>
          <w:szCs w:val="22"/>
        </w:rPr>
        <w:t xml:space="preserve"> -0.08 and </w:t>
      </w:r>
      <w:proofErr w:type="spellStart"/>
      <w:r w:rsidR="006C0F7A" w:rsidRPr="006C0F7A">
        <w:rPr>
          <w:rFonts w:asciiTheme="majorHAnsi" w:hAnsiTheme="majorHAnsi" w:cstheme="majorHAnsi"/>
          <w:sz w:val="22"/>
          <w:szCs w:val="22"/>
        </w:rPr>
        <w:t>CalibrationSlope</w:t>
      </w:r>
      <w:proofErr w:type="spellEnd"/>
      <w:r w:rsidR="006C0F7A" w:rsidRPr="006C0F7A">
        <w:rPr>
          <w:rFonts w:asciiTheme="majorHAnsi" w:hAnsiTheme="majorHAnsi" w:cstheme="majorHAnsi"/>
          <w:sz w:val="22"/>
          <w:szCs w:val="22"/>
        </w:rPr>
        <w:t xml:space="preserve"> 0.95.</w:t>
      </w:r>
      <w:r w:rsidR="006C0F7A" w:rsidRPr="006C0F7A">
        <w:rPr>
          <w:rFonts w:asciiTheme="majorHAnsi" w:hAnsiTheme="majorHAnsi" w:cstheme="majorHAnsi"/>
          <w:sz w:val="22"/>
          <w:szCs w:val="22"/>
        </w:rPr>
        <w:t xml:space="preserve"> Brier score was 0.10.</w:t>
      </w:r>
    </w:p>
    <w:p w14:paraId="6D44F1EF" w14:textId="6DEE059E" w:rsidR="00A85F1A" w:rsidRPr="00367DF9" w:rsidRDefault="006C0F7A">
      <w:pPr>
        <w:pBdr>
          <w:top w:val="nil"/>
          <w:left w:val="nil"/>
          <w:bottom w:val="nil"/>
          <w:right w:val="nil"/>
          <w:between w:val="nil"/>
        </w:pBdr>
        <w:spacing w:after="120"/>
        <w:rPr>
          <w:rFonts w:ascii="Calibri" w:eastAsia="Calibri" w:hAnsi="Calibri" w:cs="Calibri"/>
          <w:bCs/>
          <w:color w:val="000000"/>
          <w:sz w:val="22"/>
          <w:szCs w:val="22"/>
        </w:rPr>
      </w:pPr>
      <w:r>
        <w:rPr>
          <w:rFonts w:ascii="Calibri" w:eastAsia="Calibri" w:hAnsi="Calibri" w:cs="Calibri"/>
          <w:bCs/>
          <w:noProof/>
          <w:color w:val="000000"/>
          <w:sz w:val="22"/>
          <w:szCs w:val="22"/>
        </w:rPr>
        <w:lastRenderedPageBreak/>
        <w:drawing>
          <wp:inline distT="0" distB="0" distL="0" distR="0" wp14:anchorId="5F5A5F94" wp14:editId="5A39F16C">
            <wp:extent cx="4483100" cy="1863878"/>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91307" cy="1867290"/>
                    </a:xfrm>
                    <a:prstGeom prst="rect">
                      <a:avLst/>
                    </a:prstGeom>
                  </pic:spPr>
                </pic:pic>
              </a:graphicData>
            </a:graphic>
          </wp:inline>
        </w:drawing>
      </w:r>
    </w:p>
    <w:p w14:paraId="77FBA363" w14:textId="3D6AB18A" w:rsidR="00A85F1A" w:rsidRPr="00367DF9" w:rsidRDefault="00A85F1A">
      <w:pPr>
        <w:pBdr>
          <w:top w:val="nil"/>
          <w:left w:val="nil"/>
          <w:bottom w:val="nil"/>
          <w:right w:val="nil"/>
          <w:between w:val="nil"/>
        </w:pBdr>
        <w:spacing w:after="120"/>
        <w:rPr>
          <w:rFonts w:ascii="Calibri" w:eastAsia="Calibri" w:hAnsi="Calibri" w:cs="Calibri"/>
          <w:bCs/>
          <w:color w:val="000000"/>
          <w:sz w:val="22"/>
          <w:szCs w:val="22"/>
        </w:rPr>
      </w:pPr>
      <w:r w:rsidRPr="00367DF9">
        <w:rPr>
          <w:rFonts w:ascii="Calibri" w:eastAsia="Calibri" w:hAnsi="Calibri" w:cs="Calibri"/>
          <w:b/>
          <w:color w:val="000000"/>
          <w:sz w:val="22"/>
          <w:szCs w:val="22"/>
        </w:rPr>
        <w:t xml:space="preserve">Figure </w:t>
      </w:r>
      <w:r w:rsidR="000F1FF6">
        <w:rPr>
          <w:rFonts w:ascii="Calibri" w:eastAsia="Calibri" w:hAnsi="Calibri" w:cs="Calibri"/>
          <w:b/>
          <w:color w:val="000000"/>
          <w:sz w:val="22"/>
          <w:szCs w:val="22"/>
        </w:rPr>
        <w:t>2</w:t>
      </w:r>
      <w:r w:rsidRPr="00367DF9">
        <w:rPr>
          <w:rFonts w:ascii="Calibri" w:eastAsia="Calibri" w:hAnsi="Calibri" w:cs="Calibri"/>
          <w:b/>
          <w:color w:val="000000"/>
          <w:sz w:val="22"/>
          <w:szCs w:val="22"/>
        </w:rPr>
        <w:t>:</w:t>
      </w:r>
      <w:r w:rsidRPr="00367DF9">
        <w:rPr>
          <w:rFonts w:ascii="Calibri" w:eastAsia="Calibri" w:hAnsi="Calibri" w:cs="Calibri"/>
          <w:bCs/>
          <w:color w:val="000000"/>
          <w:sz w:val="22"/>
          <w:szCs w:val="22"/>
        </w:rPr>
        <w:t xml:space="preserve"> Calibration of covariates </w:t>
      </w:r>
      <w:r w:rsidR="000F1FF6">
        <w:rPr>
          <w:rFonts w:ascii="Calibri" w:eastAsia="Calibri" w:hAnsi="Calibri" w:cs="Calibri"/>
          <w:bCs/>
          <w:color w:val="000000"/>
          <w:sz w:val="22"/>
          <w:szCs w:val="22"/>
        </w:rPr>
        <w:t xml:space="preserve">in testing set </w:t>
      </w:r>
      <w:r w:rsidRPr="00367DF9">
        <w:rPr>
          <w:rFonts w:ascii="Calibri" w:eastAsia="Calibri" w:hAnsi="Calibri" w:cs="Calibri"/>
          <w:bCs/>
          <w:color w:val="000000"/>
          <w:sz w:val="22"/>
          <w:szCs w:val="22"/>
        </w:rPr>
        <w:t>for prediction of postoperative complications after colorectal cancer surgery</w:t>
      </w:r>
    </w:p>
    <w:p w14:paraId="6C6263B0" w14:textId="3528BCDD" w:rsidR="00A85F1A" w:rsidRDefault="006C0F7A">
      <w:pPr>
        <w:pBdr>
          <w:top w:val="nil"/>
          <w:left w:val="nil"/>
          <w:bottom w:val="nil"/>
          <w:right w:val="nil"/>
          <w:between w:val="nil"/>
        </w:pBdr>
        <w:spacing w:after="120"/>
        <w:rPr>
          <w:rFonts w:ascii="Calibri" w:eastAsia="Calibri" w:hAnsi="Calibri" w:cs="Calibri"/>
          <w:bCs/>
          <w:color w:val="000000"/>
          <w:sz w:val="22"/>
          <w:szCs w:val="22"/>
        </w:rPr>
      </w:pPr>
      <w:r>
        <w:rPr>
          <w:rFonts w:ascii="Calibri" w:eastAsia="Calibri" w:hAnsi="Calibri" w:cs="Calibri"/>
          <w:bCs/>
          <w:noProof/>
          <w:color w:val="000000"/>
          <w:sz w:val="22"/>
          <w:szCs w:val="22"/>
        </w:rPr>
        <w:drawing>
          <wp:inline distT="0" distB="0" distL="0" distR="0" wp14:anchorId="76E237D5" wp14:editId="54C9B91B">
            <wp:extent cx="3928533" cy="240254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38767" cy="2408807"/>
                    </a:xfrm>
                    <a:prstGeom prst="rect">
                      <a:avLst/>
                    </a:prstGeom>
                  </pic:spPr>
                </pic:pic>
              </a:graphicData>
            </a:graphic>
          </wp:inline>
        </w:drawing>
      </w:r>
    </w:p>
    <w:p w14:paraId="758F389A" w14:textId="6F506E99" w:rsidR="007E3207" w:rsidRDefault="007E3207">
      <w:pPr>
        <w:pBdr>
          <w:top w:val="nil"/>
          <w:left w:val="nil"/>
          <w:bottom w:val="nil"/>
          <w:right w:val="nil"/>
          <w:between w:val="nil"/>
        </w:pBdr>
        <w:spacing w:after="120"/>
        <w:rPr>
          <w:rFonts w:ascii="Calibri" w:eastAsia="Calibri" w:hAnsi="Calibri" w:cs="Calibri"/>
          <w:bCs/>
          <w:color w:val="000000"/>
          <w:sz w:val="22"/>
          <w:szCs w:val="22"/>
        </w:rPr>
      </w:pPr>
      <w:r w:rsidRPr="007E3207">
        <w:rPr>
          <w:rFonts w:ascii="Calibri" w:eastAsia="Calibri" w:hAnsi="Calibri" w:cs="Calibri"/>
          <w:b/>
          <w:color w:val="000000"/>
          <w:sz w:val="22"/>
          <w:szCs w:val="22"/>
        </w:rPr>
        <w:t>Figure 3:</w:t>
      </w:r>
      <w:r>
        <w:rPr>
          <w:rFonts w:ascii="Calibri" w:eastAsia="Calibri" w:hAnsi="Calibri" w:cs="Calibri"/>
          <w:bCs/>
          <w:color w:val="000000"/>
          <w:sz w:val="22"/>
          <w:szCs w:val="22"/>
        </w:rPr>
        <w:t xml:space="preserve"> Prevalence of variables with and without the outcome of postoperative complications after colorectal cancer surgery</w:t>
      </w:r>
    </w:p>
    <w:p w14:paraId="33C4137C" w14:textId="582E0D19" w:rsidR="006C7B69" w:rsidRPr="00A15C4E" w:rsidRDefault="003575ED" w:rsidP="003575ED">
      <w:pPr>
        <w:pBdr>
          <w:top w:val="nil"/>
          <w:left w:val="nil"/>
          <w:bottom w:val="nil"/>
          <w:right w:val="nil"/>
          <w:between w:val="nil"/>
        </w:pBdr>
        <w:spacing w:after="120"/>
        <w:rPr>
          <w:rFonts w:asciiTheme="majorHAnsi" w:hAnsiTheme="majorHAnsi" w:cstheme="majorHAnsi"/>
          <w:sz w:val="22"/>
          <w:szCs w:val="22"/>
        </w:rPr>
      </w:pPr>
      <w:r w:rsidRPr="003575ED">
        <w:rPr>
          <w:rFonts w:ascii="Calibri" w:eastAsia="Calibri" w:hAnsi="Calibri" w:cs="Calibri"/>
          <w:bCs/>
          <w:color w:val="000000"/>
          <w:sz w:val="22"/>
          <w:szCs w:val="22"/>
        </w:rPr>
        <w:t xml:space="preserve">Predictors in the model used to calculate risk, were found to be in agreement with the current literature. </w:t>
      </w:r>
      <w:r w:rsidRPr="003575ED">
        <w:rPr>
          <w:rFonts w:asciiTheme="majorHAnsi" w:hAnsiTheme="majorHAnsi" w:cstheme="majorHAnsi"/>
          <w:sz w:val="22"/>
          <w:szCs w:val="22"/>
        </w:rPr>
        <w:t>Those predicted to have the outcome more often were patients with an ASA score</w:t>
      </w:r>
      <w:r w:rsidR="006C7B69">
        <w:rPr>
          <w:rFonts w:asciiTheme="majorHAnsi" w:hAnsiTheme="majorHAnsi" w:cstheme="majorHAnsi"/>
          <w:sz w:val="22"/>
          <w:szCs w:val="22"/>
        </w:rPr>
        <w:t xml:space="preserve"> of 4</w:t>
      </w:r>
      <w:r w:rsidRPr="003575ED">
        <w:rPr>
          <w:rFonts w:asciiTheme="majorHAnsi" w:hAnsiTheme="majorHAnsi" w:cstheme="majorHAnsi"/>
          <w:sz w:val="22"/>
          <w:szCs w:val="22"/>
        </w:rPr>
        <w:t xml:space="preserve">, Performance score ≥ </w:t>
      </w:r>
      <w:r w:rsidR="006C7B69">
        <w:rPr>
          <w:rFonts w:asciiTheme="majorHAnsi" w:hAnsiTheme="majorHAnsi" w:cstheme="majorHAnsi"/>
          <w:sz w:val="22"/>
          <w:szCs w:val="22"/>
        </w:rPr>
        <w:t>2</w:t>
      </w:r>
      <w:r w:rsidRPr="003575ED">
        <w:rPr>
          <w:rFonts w:asciiTheme="majorHAnsi" w:hAnsiTheme="majorHAnsi" w:cstheme="majorHAnsi"/>
          <w:sz w:val="22"/>
          <w:szCs w:val="22"/>
        </w:rPr>
        <w:t>,</w:t>
      </w:r>
      <w:r w:rsidR="006C7B69">
        <w:rPr>
          <w:rFonts w:asciiTheme="majorHAnsi" w:hAnsiTheme="majorHAnsi" w:cstheme="majorHAnsi"/>
          <w:sz w:val="22"/>
          <w:szCs w:val="22"/>
        </w:rPr>
        <w:t xml:space="preserve"> undergoing</w:t>
      </w:r>
      <w:r w:rsidRPr="003575ED">
        <w:rPr>
          <w:rFonts w:asciiTheme="majorHAnsi" w:hAnsiTheme="majorHAnsi" w:cstheme="majorHAnsi"/>
          <w:sz w:val="22"/>
          <w:szCs w:val="22"/>
        </w:rPr>
        <w:t xml:space="preserve"> </w:t>
      </w:r>
      <w:r w:rsidR="006C7B69">
        <w:rPr>
          <w:rFonts w:asciiTheme="majorHAnsi" w:hAnsiTheme="majorHAnsi" w:cstheme="majorHAnsi"/>
          <w:sz w:val="22"/>
          <w:szCs w:val="22"/>
        </w:rPr>
        <w:t>abdominal colectomies</w:t>
      </w:r>
      <w:r w:rsidRPr="003575ED">
        <w:rPr>
          <w:rFonts w:asciiTheme="majorHAnsi" w:hAnsiTheme="majorHAnsi" w:cstheme="majorHAnsi"/>
          <w:sz w:val="22"/>
          <w:szCs w:val="22"/>
        </w:rPr>
        <w:t>,</w:t>
      </w:r>
      <w:r w:rsidR="006C7B69">
        <w:rPr>
          <w:rFonts w:asciiTheme="majorHAnsi" w:hAnsiTheme="majorHAnsi" w:cstheme="majorHAnsi"/>
          <w:sz w:val="22"/>
          <w:szCs w:val="22"/>
        </w:rPr>
        <w:t xml:space="preserve"> requiring</w:t>
      </w:r>
      <w:r w:rsidRPr="003575ED">
        <w:rPr>
          <w:rFonts w:asciiTheme="majorHAnsi" w:hAnsiTheme="majorHAnsi" w:cstheme="majorHAnsi"/>
          <w:sz w:val="22"/>
          <w:szCs w:val="22"/>
        </w:rPr>
        <w:t xml:space="preserve"> emergency surgery, </w:t>
      </w:r>
      <w:r w:rsidR="006C7B69">
        <w:rPr>
          <w:rFonts w:asciiTheme="majorHAnsi" w:hAnsiTheme="majorHAnsi" w:cstheme="majorHAnsi"/>
          <w:sz w:val="22"/>
          <w:szCs w:val="22"/>
        </w:rPr>
        <w:t xml:space="preserve">and </w:t>
      </w:r>
      <w:r w:rsidRPr="003575ED">
        <w:rPr>
          <w:rFonts w:asciiTheme="majorHAnsi" w:hAnsiTheme="majorHAnsi" w:cstheme="majorHAnsi"/>
          <w:sz w:val="22"/>
          <w:szCs w:val="22"/>
        </w:rPr>
        <w:t xml:space="preserve">were more often &gt; 95 or &lt; 40 years of age. Similarly, variables in the model identified more often in those that did not have complications were often more minor procedures such as endoscopic resections, </w:t>
      </w:r>
      <w:r w:rsidR="00850365">
        <w:rPr>
          <w:rFonts w:asciiTheme="majorHAnsi" w:hAnsiTheme="majorHAnsi" w:cstheme="majorHAnsi"/>
          <w:sz w:val="22"/>
          <w:szCs w:val="22"/>
        </w:rPr>
        <w:t xml:space="preserve">lower T-stages and </w:t>
      </w:r>
      <w:r w:rsidRPr="003575ED">
        <w:rPr>
          <w:rFonts w:asciiTheme="majorHAnsi" w:hAnsiTheme="majorHAnsi" w:cstheme="majorHAnsi"/>
          <w:sz w:val="22"/>
          <w:szCs w:val="22"/>
        </w:rPr>
        <w:t xml:space="preserve">patients with </w:t>
      </w:r>
      <w:r w:rsidR="0042066B">
        <w:rPr>
          <w:rFonts w:asciiTheme="majorHAnsi" w:hAnsiTheme="majorHAnsi" w:cstheme="majorHAnsi"/>
          <w:sz w:val="22"/>
          <w:szCs w:val="22"/>
        </w:rPr>
        <w:t xml:space="preserve">a normal </w:t>
      </w:r>
      <w:r w:rsidR="00850365">
        <w:rPr>
          <w:rFonts w:asciiTheme="majorHAnsi" w:hAnsiTheme="majorHAnsi" w:cstheme="majorHAnsi"/>
          <w:sz w:val="22"/>
          <w:szCs w:val="22"/>
        </w:rPr>
        <w:t>or slightly elevated BMI</w:t>
      </w:r>
      <w:r w:rsidR="0042066B">
        <w:rPr>
          <w:rFonts w:asciiTheme="majorHAnsi" w:hAnsiTheme="majorHAnsi" w:cstheme="majorHAnsi"/>
          <w:sz w:val="22"/>
          <w:szCs w:val="22"/>
        </w:rPr>
        <w:t xml:space="preserve">. </w:t>
      </w:r>
      <w:r w:rsidRPr="003575ED">
        <w:rPr>
          <w:rFonts w:asciiTheme="majorHAnsi" w:hAnsiTheme="majorHAnsi" w:cstheme="majorHAnsi"/>
          <w:sz w:val="22"/>
          <w:szCs w:val="22"/>
        </w:rPr>
        <w:t xml:space="preserve"> </w:t>
      </w:r>
    </w:p>
    <w:p w14:paraId="509A2E93" w14:textId="77777777" w:rsidR="003575ED" w:rsidRPr="00367DF9" w:rsidRDefault="003575ED">
      <w:pPr>
        <w:pBdr>
          <w:top w:val="nil"/>
          <w:left w:val="nil"/>
          <w:bottom w:val="nil"/>
          <w:right w:val="nil"/>
          <w:between w:val="nil"/>
        </w:pBdr>
        <w:spacing w:after="120"/>
        <w:rPr>
          <w:rFonts w:ascii="Calibri" w:eastAsia="Calibri" w:hAnsi="Calibri" w:cs="Calibri"/>
          <w:bCs/>
          <w:color w:val="000000"/>
          <w:sz w:val="22"/>
          <w:szCs w:val="22"/>
        </w:rPr>
      </w:pPr>
    </w:p>
    <w:p w14:paraId="0000000E" w14:textId="77777777" w:rsidR="005F085B" w:rsidRPr="00367DF9" w:rsidRDefault="00374980">
      <w:pPr>
        <w:keepNext/>
        <w:pBdr>
          <w:top w:val="nil"/>
          <w:left w:val="nil"/>
          <w:bottom w:val="nil"/>
          <w:right w:val="nil"/>
          <w:between w:val="nil"/>
        </w:pBdr>
        <w:spacing w:before="120" w:after="120"/>
        <w:jc w:val="both"/>
        <w:rPr>
          <w:rFonts w:ascii="Calibri" w:eastAsia="Calibri" w:hAnsi="Calibri" w:cs="Calibri"/>
          <w:b/>
          <w:color w:val="000000"/>
          <w:sz w:val="22"/>
          <w:szCs w:val="22"/>
        </w:rPr>
      </w:pPr>
      <w:r w:rsidRPr="00367DF9">
        <w:rPr>
          <w:rFonts w:ascii="Calibri" w:eastAsia="Calibri" w:hAnsi="Calibri" w:cs="Calibri"/>
          <w:b/>
          <w:color w:val="000000"/>
          <w:sz w:val="22"/>
          <w:szCs w:val="22"/>
        </w:rPr>
        <w:t>Conclusion</w:t>
      </w:r>
    </w:p>
    <w:p w14:paraId="718DDFC7" w14:textId="579E0535" w:rsidR="00367DF9" w:rsidRPr="00367DF9" w:rsidRDefault="00367DF9" w:rsidP="00367DF9">
      <w:pPr>
        <w:pStyle w:val="NormalWeb"/>
        <w:shd w:val="clear" w:color="auto" w:fill="FFFFFF"/>
        <w:rPr>
          <w:rFonts w:ascii="Calibri" w:hAnsi="Calibri" w:cs="Calibri"/>
          <w:color w:val="000000"/>
          <w:sz w:val="22"/>
          <w:szCs w:val="22"/>
          <w:lang w:val="en-US"/>
        </w:rPr>
      </w:pPr>
      <w:r w:rsidRPr="00367DF9">
        <w:rPr>
          <w:rFonts w:ascii="Calibri" w:hAnsi="Calibri" w:cs="Calibri"/>
          <w:color w:val="000000"/>
          <w:sz w:val="22"/>
          <w:szCs w:val="22"/>
          <w:lang w:val="en-US"/>
        </w:rPr>
        <w:t xml:space="preserve">Predicting the occurrence of complications after surgery for colorectal cancer using only preoperative variables from the DCCG database in this model is not yet up to a sufficient standard for use in a clinical setting. </w:t>
      </w:r>
      <w:r w:rsidR="000F1FF6">
        <w:rPr>
          <w:rFonts w:ascii="Calibri" w:hAnsi="Calibri" w:cs="Calibri"/>
          <w:color w:val="000000"/>
          <w:sz w:val="22"/>
          <w:szCs w:val="22"/>
          <w:lang w:val="en-US"/>
        </w:rPr>
        <w:t xml:space="preserve">The heterogeneity of postoperative complications provide a challenge for predictions in a single model. </w:t>
      </w:r>
      <w:r w:rsidRPr="00367DF9">
        <w:rPr>
          <w:rFonts w:ascii="Calibri" w:hAnsi="Calibri" w:cs="Calibri"/>
          <w:color w:val="000000"/>
          <w:sz w:val="22"/>
          <w:szCs w:val="22"/>
          <w:lang w:val="en-US"/>
        </w:rPr>
        <w:t>Utilizing additional data sources containing more in depth phenotypic data might ameliorate prediction models to where they can assist decision-making in personalized medicine</w:t>
      </w:r>
      <w:r w:rsidR="000F1FF6">
        <w:rPr>
          <w:rFonts w:ascii="Calibri" w:hAnsi="Calibri" w:cs="Calibri"/>
          <w:color w:val="000000"/>
          <w:sz w:val="22"/>
          <w:szCs w:val="22"/>
          <w:lang w:val="en-US"/>
        </w:rPr>
        <w:t>, especially when used in conjunction with other models to create a risk profile</w:t>
      </w:r>
      <w:r w:rsidRPr="00367DF9">
        <w:rPr>
          <w:rFonts w:ascii="Calibri" w:hAnsi="Calibri" w:cs="Calibri"/>
          <w:color w:val="000000"/>
          <w:sz w:val="22"/>
          <w:szCs w:val="22"/>
          <w:lang w:val="en-US"/>
        </w:rPr>
        <w:t>.</w:t>
      </w:r>
    </w:p>
    <w:p w14:paraId="00000010" w14:textId="77777777" w:rsidR="005F085B" w:rsidRPr="00367DF9" w:rsidRDefault="005F085B">
      <w:pPr>
        <w:pBdr>
          <w:top w:val="nil"/>
          <w:left w:val="nil"/>
          <w:bottom w:val="nil"/>
          <w:right w:val="nil"/>
          <w:between w:val="nil"/>
        </w:pBdr>
        <w:spacing w:after="120"/>
        <w:jc w:val="both"/>
        <w:rPr>
          <w:rFonts w:ascii="Calibri" w:eastAsia="Calibri" w:hAnsi="Calibri" w:cs="Calibri"/>
          <w:b/>
          <w:sz w:val="22"/>
          <w:szCs w:val="22"/>
        </w:rPr>
      </w:pPr>
    </w:p>
    <w:p w14:paraId="00000013" w14:textId="13FE993C" w:rsidR="005F085B" w:rsidRPr="00367DF9" w:rsidRDefault="00374980" w:rsidP="00402B21">
      <w:pPr>
        <w:keepNext/>
        <w:pBdr>
          <w:top w:val="nil"/>
          <w:left w:val="nil"/>
          <w:bottom w:val="nil"/>
          <w:right w:val="nil"/>
          <w:between w:val="nil"/>
        </w:pBdr>
        <w:spacing w:before="120" w:after="120"/>
        <w:jc w:val="center"/>
        <w:rPr>
          <w:rFonts w:ascii="Calibri" w:eastAsia="Calibri" w:hAnsi="Calibri" w:cs="Calibri"/>
          <w:b/>
          <w:color w:val="000000"/>
          <w:sz w:val="22"/>
          <w:szCs w:val="22"/>
          <w:lang w:val="nl-NL"/>
        </w:rPr>
      </w:pPr>
      <w:proofErr w:type="spellStart"/>
      <w:r w:rsidRPr="00367DF9">
        <w:rPr>
          <w:rFonts w:ascii="Calibri" w:eastAsia="Calibri" w:hAnsi="Calibri" w:cs="Calibri"/>
          <w:b/>
          <w:color w:val="000000"/>
          <w:sz w:val="22"/>
          <w:szCs w:val="22"/>
          <w:lang w:val="nl-NL"/>
        </w:rPr>
        <w:t>References</w:t>
      </w:r>
      <w:proofErr w:type="spellEnd"/>
      <w:r w:rsidRPr="00367DF9">
        <w:rPr>
          <w:rFonts w:ascii="Calibri" w:eastAsia="Calibri" w:hAnsi="Calibri" w:cs="Calibri"/>
          <w:b/>
          <w:sz w:val="22"/>
          <w:szCs w:val="22"/>
          <w:lang w:val="nl-NL"/>
        </w:rPr>
        <w:t>/</w:t>
      </w:r>
      <w:proofErr w:type="spellStart"/>
      <w:r w:rsidRPr="00367DF9">
        <w:rPr>
          <w:rFonts w:ascii="Calibri" w:eastAsia="Calibri" w:hAnsi="Calibri" w:cs="Calibri"/>
          <w:b/>
          <w:sz w:val="22"/>
          <w:szCs w:val="22"/>
          <w:lang w:val="nl-NL"/>
        </w:rPr>
        <w:t>Citations</w:t>
      </w:r>
      <w:proofErr w:type="spellEnd"/>
    </w:p>
    <w:p w14:paraId="11B2648D" w14:textId="77777777" w:rsidR="00A85F1A" w:rsidRPr="00367DF9" w:rsidRDefault="00713D4A" w:rsidP="00A85F1A">
      <w:pPr>
        <w:pStyle w:val="Bibliography"/>
        <w:rPr>
          <w:rFonts w:ascii="Calibri" w:hAnsi="Calibri" w:cs="Calibri"/>
          <w:sz w:val="22"/>
          <w:szCs w:val="22"/>
        </w:rPr>
      </w:pPr>
      <w:r w:rsidRPr="4A1701E3">
        <w:rPr>
          <w:rFonts w:ascii="Calibri" w:eastAsia="Calibri" w:hAnsi="Calibri" w:cs="Calibri"/>
          <w:bCs/>
          <w:color w:val="000000"/>
          <w:sz w:val="22"/>
          <w:szCs w:val="22"/>
        </w:rPr>
        <w:fldChar w:fldCharType="begin"/>
      </w:r>
      <w:r w:rsidR="00A85F1A" w:rsidRPr="00367DF9">
        <w:rPr>
          <w:rFonts w:ascii="Calibri" w:eastAsia="Calibri" w:hAnsi="Calibri" w:cs="Calibri"/>
          <w:bCs/>
          <w:color w:val="000000"/>
          <w:sz w:val="22"/>
          <w:szCs w:val="22"/>
          <w:lang w:val="nl-NL"/>
        </w:rPr>
        <w:instrText xml:space="preserve"> ADDIN ZOTERO_BIBL {"uncited":[],"omitted":[],"custom":[]} CSL_BIBLIOGRAPHY </w:instrText>
      </w:r>
      <w:r w:rsidRPr="4A1701E3">
        <w:rPr>
          <w:rFonts w:ascii="Calibri" w:eastAsia="Calibri" w:hAnsi="Calibri" w:cs="Calibri"/>
          <w:bCs/>
          <w:color w:val="000000"/>
          <w:sz w:val="22"/>
          <w:szCs w:val="22"/>
        </w:rPr>
        <w:fldChar w:fldCharType="separate"/>
      </w:r>
      <w:r w:rsidR="00A85F1A" w:rsidRPr="00367DF9">
        <w:rPr>
          <w:rFonts w:ascii="Calibri" w:hAnsi="Calibri" w:cs="Calibri"/>
          <w:sz w:val="22"/>
          <w:szCs w:val="22"/>
          <w:lang w:val="nl-NL"/>
        </w:rPr>
        <w:t xml:space="preserve">1. </w:t>
      </w:r>
      <w:r w:rsidR="00A85F1A" w:rsidRPr="00367DF9">
        <w:rPr>
          <w:rFonts w:ascii="Calibri" w:hAnsi="Calibri" w:cs="Calibri"/>
          <w:sz w:val="22"/>
          <w:szCs w:val="22"/>
          <w:lang w:val="nl-NL"/>
        </w:rPr>
        <w:tab/>
        <w:t xml:space="preserve">Dekker JWT, van den Broek CBM, Bastiaannet E, van de Geest LGM, Tollenaar R a. EM, Liefers GJ. </w:t>
      </w:r>
      <w:r w:rsidR="00A85F1A" w:rsidRPr="00367DF9">
        <w:rPr>
          <w:rFonts w:ascii="Calibri" w:hAnsi="Calibri" w:cs="Calibri"/>
          <w:sz w:val="22"/>
          <w:szCs w:val="22"/>
        </w:rPr>
        <w:t xml:space="preserve">Importance of the first postoperative year in the prognosis of elderly colorectal cancer patients. Ann Surg Oncol. 2011 Jun;18(6):1533–9. </w:t>
      </w:r>
    </w:p>
    <w:p w14:paraId="03C823E8" w14:textId="77777777" w:rsidR="00A85F1A" w:rsidRPr="00367DF9" w:rsidRDefault="00A85F1A" w:rsidP="00A85F1A">
      <w:pPr>
        <w:pStyle w:val="Bibliography"/>
        <w:rPr>
          <w:rFonts w:ascii="Calibri" w:hAnsi="Calibri" w:cs="Calibri"/>
          <w:sz w:val="22"/>
          <w:szCs w:val="22"/>
        </w:rPr>
      </w:pPr>
      <w:r w:rsidRPr="00367DF9">
        <w:rPr>
          <w:rFonts w:ascii="Calibri" w:hAnsi="Calibri" w:cs="Calibri"/>
          <w:sz w:val="22"/>
          <w:szCs w:val="22"/>
        </w:rPr>
        <w:t xml:space="preserve">2. </w:t>
      </w:r>
      <w:r w:rsidRPr="00367DF9">
        <w:rPr>
          <w:rFonts w:ascii="Calibri" w:hAnsi="Calibri" w:cs="Calibri"/>
          <w:sz w:val="22"/>
          <w:szCs w:val="22"/>
        </w:rPr>
        <w:tab/>
        <w:t xml:space="preserve">Duraes LC, Stocchi L, Steele SR, Kalady MF, Church JM, Gorgun E, et al. The Relationship Between Clavien-Dindo Morbidity Classification and Oncologic Outcomes After Colorectal Cancer Resection. Ann Surg Oncol. 2018 Jan;25(1):188–96. </w:t>
      </w:r>
    </w:p>
    <w:p w14:paraId="301634FA" w14:textId="77777777" w:rsidR="00A85F1A" w:rsidRPr="000F1FF6" w:rsidRDefault="00A85F1A" w:rsidP="00A85F1A">
      <w:pPr>
        <w:pStyle w:val="Bibliography"/>
        <w:rPr>
          <w:rFonts w:ascii="Calibri" w:hAnsi="Calibri" w:cs="Calibri"/>
          <w:sz w:val="22"/>
          <w:szCs w:val="22"/>
        </w:rPr>
      </w:pPr>
      <w:r w:rsidRPr="00367DF9">
        <w:rPr>
          <w:rFonts w:ascii="Calibri" w:hAnsi="Calibri" w:cs="Calibri"/>
          <w:sz w:val="22"/>
          <w:szCs w:val="22"/>
        </w:rPr>
        <w:t xml:space="preserve">3. </w:t>
      </w:r>
      <w:r w:rsidRPr="00367DF9">
        <w:rPr>
          <w:rFonts w:ascii="Calibri" w:hAnsi="Calibri" w:cs="Calibri"/>
          <w:sz w:val="22"/>
          <w:szCs w:val="22"/>
        </w:rPr>
        <w:tab/>
        <w:t xml:space="preserve">Dindo D, Demartines N, Clavien P-A. Classification of surgical complications: a new proposal with evaluation in a cohort of 6336 patients and results of a survey. </w:t>
      </w:r>
      <w:r w:rsidRPr="000F1FF6">
        <w:rPr>
          <w:rFonts w:ascii="Calibri" w:hAnsi="Calibri" w:cs="Calibri"/>
          <w:sz w:val="22"/>
          <w:szCs w:val="22"/>
        </w:rPr>
        <w:t xml:space="preserve">Ann Surg. 2004 Aug;240(2):205–13. </w:t>
      </w:r>
    </w:p>
    <w:p w14:paraId="5EFB2F6A" w14:textId="77777777" w:rsidR="00A85F1A" w:rsidRPr="00367DF9" w:rsidRDefault="00A85F1A" w:rsidP="00A85F1A">
      <w:pPr>
        <w:pStyle w:val="Bibliography"/>
        <w:rPr>
          <w:rFonts w:ascii="Calibri" w:hAnsi="Calibri" w:cs="Calibri"/>
          <w:sz w:val="22"/>
          <w:szCs w:val="22"/>
          <w:lang w:val="nl-NL"/>
        </w:rPr>
      </w:pPr>
      <w:r w:rsidRPr="000F1FF6">
        <w:rPr>
          <w:rFonts w:ascii="Calibri" w:hAnsi="Calibri" w:cs="Calibri"/>
          <w:sz w:val="22"/>
          <w:szCs w:val="22"/>
        </w:rPr>
        <w:t xml:space="preserve">4. </w:t>
      </w:r>
      <w:r w:rsidRPr="000F1FF6">
        <w:rPr>
          <w:rFonts w:ascii="Calibri" w:hAnsi="Calibri" w:cs="Calibri"/>
          <w:sz w:val="22"/>
          <w:szCs w:val="22"/>
        </w:rPr>
        <w:tab/>
        <w:t xml:space="preserve">Trépanier M, Minnella EM, Paradis T, Awasthi R, Kaneva P, Schwartzman K, et al. </w:t>
      </w:r>
      <w:r w:rsidRPr="00367DF9">
        <w:rPr>
          <w:rFonts w:ascii="Calibri" w:hAnsi="Calibri" w:cs="Calibri"/>
          <w:sz w:val="22"/>
          <w:szCs w:val="22"/>
        </w:rPr>
        <w:t xml:space="preserve">Improved Disease-free Survival After Prehabilitation for Colorectal Cancer Surgery. </w:t>
      </w:r>
      <w:r w:rsidRPr="00367DF9">
        <w:rPr>
          <w:rFonts w:ascii="Calibri" w:hAnsi="Calibri" w:cs="Calibri"/>
          <w:sz w:val="22"/>
          <w:szCs w:val="22"/>
          <w:lang w:val="nl-NL"/>
        </w:rPr>
        <w:t xml:space="preserve">Ann Surg. 2019 Sep;270(3):493–501. </w:t>
      </w:r>
    </w:p>
    <w:p w14:paraId="6556D21E" w14:textId="77777777" w:rsidR="00A85F1A" w:rsidRPr="00367DF9" w:rsidRDefault="00A85F1A" w:rsidP="00A85F1A">
      <w:pPr>
        <w:pStyle w:val="Bibliography"/>
        <w:rPr>
          <w:rFonts w:ascii="Calibri" w:hAnsi="Calibri" w:cs="Calibri"/>
          <w:sz w:val="22"/>
          <w:szCs w:val="22"/>
        </w:rPr>
      </w:pPr>
      <w:r w:rsidRPr="00367DF9">
        <w:rPr>
          <w:rFonts w:ascii="Calibri" w:hAnsi="Calibri" w:cs="Calibri"/>
          <w:sz w:val="22"/>
          <w:szCs w:val="22"/>
          <w:lang w:val="nl-NL"/>
        </w:rPr>
        <w:t xml:space="preserve">5. </w:t>
      </w:r>
      <w:r w:rsidRPr="00367DF9">
        <w:rPr>
          <w:rFonts w:ascii="Calibri" w:hAnsi="Calibri" w:cs="Calibri"/>
          <w:sz w:val="22"/>
          <w:szCs w:val="22"/>
          <w:lang w:val="nl-NL"/>
        </w:rPr>
        <w:tab/>
        <w:t xml:space="preserve">Marres CCM, van de Ven AWH, Verbeek PCM, van Dieren S, Bemelman WA, Buskens CJ. </w:t>
      </w:r>
      <w:r w:rsidRPr="00367DF9">
        <w:rPr>
          <w:rFonts w:ascii="Calibri" w:hAnsi="Calibri" w:cs="Calibri"/>
          <w:sz w:val="22"/>
          <w:szCs w:val="22"/>
        </w:rPr>
        <w:t xml:space="preserve">The effect of a postoperative quality improvement program on outcomes in colorectal surgery in a community hospital. Int J Colorectal Dis. 2016 Sep;31(9):1603–9. </w:t>
      </w:r>
    </w:p>
    <w:p w14:paraId="4EC7B638" w14:textId="77777777" w:rsidR="00A85F1A" w:rsidRPr="00367DF9" w:rsidRDefault="00A85F1A" w:rsidP="00A85F1A">
      <w:pPr>
        <w:pStyle w:val="Bibliography"/>
        <w:rPr>
          <w:rFonts w:ascii="Calibri" w:hAnsi="Calibri" w:cs="Calibri"/>
          <w:sz w:val="22"/>
          <w:szCs w:val="22"/>
        </w:rPr>
      </w:pPr>
      <w:r w:rsidRPr="00367DF9">
        <w:rPr>
          <w:rFonts w:ascii="Calibri" w:hAnsi="Calibri" w:cs="Calibri"/>
          <w:sz w:val="22"/>
          <w:szCs w:val="22"/>
        </w:rPr>
        <w:t xml:space="preserve">6. </w:t>
      </w:r>
      <w:r w:rsidRPr="00367DF9">
        <w:rPr>
          <w:rFonts w:ascii="Calibri" w:hAnsi="Calibri" w:cs="Calibri"/>
          <w:sz w:val="22"/>
          <w:szCs w:val="22"/>
        </w:rPr>
        <w:tab/>
        <w:t xml:space="preserve">Merath K, Hyer JM, Mehta R, Farooq A, Bagante F, Sahara K, et al. Use of Machine Learning for Prediction of Patient Risk of Postoperative Complications After Liver, Pancreatic, and Colorectal Surgery. J Gastrointest Surg Off J Soc Surg Aliment Tract. 2020 Aug;24(8):1843–51. </w:t>
      </w:r>
    </w:p>
    <w:p w14:paraId="4A38B6EF" w14:textId="6A6C0AE5" w:rsidR="003575ED" w:rsidRPr="4A1701E3" w:rsidRDefault="00713D4A" w:rsidP="003575ED">
      <w:pPr>
        <w:keepNext/>
        <w:pBdr>
          <w:top w:val="nil"/>
          <w:left w:val="nil"/>
          <w:bottom w:val="nil"/>
          <w:right w:val="nil"/>
          <w:between w:val="nil"/>
        </w:pBdr>
        <w:spacing w:before="120" w:after="120"/>
        <w:rPr>
          <w:rFonts w:ascii="Calibri" w:eastAsia="Calibri" w:hAnsi="Calibri" w:cs="Calibri"/>
          <w:color w:val="000000" w:themeColor="text1"/>
          <w:sz w:val="22"/>
          <w:szCs w:val="22"/>
        </w:rPr>
      </w:pPr>
      <w:r w:rsidRPr="4A1701E3">
        <w:rPr>
          <w:rFonts w:ascii="Calibri" w:eastAsia="Calibri" w:hAnsi="Calibri" w:cs="Calibri"/>
          <w:color w:val="000000" w:themeColor="text1"/>
          <w:sz w:val="22"/>
          <w:szCs w:val="22"/>
        </w:rPr>
        <w:fldChar w:fldCharType="end"/>
      </w:r>
    </w:p>
    <w:p w14:paraId="7608D5AC" w14:textId="3E2DC84C" w:rsidR="00BE76E9" w:rsidRPr="007E3207" w:rsidRDefault="00BE76E9" w:rsidP="007E3207">
      <w:pPr>
        <w:spacing w:before="120" w:after="120"/>
        <w:rPr>
          <w:rFonts w:ascii="Calibri" w:eastAsia="Calibri" w:hAnsi="Calibri" w:cs="Calibri"/>
          <w:color w:val="000000" w:themeColor="text1"/>
          <w:sz w:val="22"/>
          <w:szCs w:val="22"/>
        </w:rPr>
      </w:pPr>
    </w:p>
    <w:sectPr w:rsidR="00BE76E9" w:rsidRPr="007E3207">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B889AF" w14:textId="77777777" w:rsidR="0071183C" w:rsidRDefault="0071183C">
      <w:r>
        <w:separator/>
      </w:r>
    </w:p>
  </w:endnote>
  <w:endnote w:type="continuationSeparator" w:id="0">
    <w:p w14:paraId="3F6902DE" w14:textId="77777777" w:rsidR="0071183C" w:rsidRDefault="00711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4" w14:textId="77777777" w:rsidR="005F085B" w:rsidRDefault="005F085B">
    <w:pPr>
      <w:pBdr>
        <w:top w:val="nil"/>
        <w:left w:val="nil"/>
        <w:bottom w:val="nil"/>
        <w:right w:val="nil"/>
        <w:between w:val="nil"/>
      </w:pBdr>
      <w:tabs>
        <w:tab w:val="center" w:pos="4320"/>
        <w:tab w:val="right" w:pos="8640"/>
      </w:tabs>
      <w:jc w:val="right"/>
      <w:rPr>
        <w:color w:val="000000"/>
      </w:rPr>
    </w:pPr>
  </w:p>
  <w:p w14:paraId="00000015" w14:textId="77777777" w:rsidR="005F085B" w:rsidRDefault="005F085B">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84B1C8" w14:textId="77777777" w:rsidR="0071183C" w:rsidRDefault="0071183C">
      <w:r>
        <w:separator/>
      </w:r>
    </w:p>
  </w:footnote>
  <w:footnote w:type="continuationSeparator" w:id="0">
    <w:p w14:paraId="6DD79645" w14:textId="77777777" w:rsidR="0071183C" w:rsidRDefault="00711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0749A0"/>
    <w:multiLevelType w:val="hybridMultilevel"/>
    <w:tmpl w:val="719873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38277C"/>
    <w:multiLevelType w:val="hybridMultilevel"/>
    <w:tmpl w:val="070CACC0"/>
    <w:lvl w:ilvl="0" w:tplc="CAF6D5E4">
      <w:start w:val="1"/>
      <w:numFmt w:val="bullet"/>
      <w:lvlText w:val="•"/>
      <w:lvlJc w:val="left"/>
      <w:pPr>
        <w:tabs>
          <w:tab w:val="num" w:pos="720"/>
        </w:tabs>
        <w:ind w:left="720" w:hanging="360"/>
      </w:pPr>
      <w:rPr>
        <w:rFonts w:ascii="Arial" w:hAnsi="Arial" w:hint="default"/>
      </w:rPr>
    </w:lvl>
    <w:lvl w:ilvl="1" w:tplc="39444776" w:tentative="1">
      <w:start w:val="1"/>
      <w:numFmt w:val="bullet"/>
      <w:lvlText w:val="•"/>
      <w:lvlJc w:val="left"/>
      <w:pPr>
        <w:tabs>
          <w:tab w:val="num" w:pos="1440"/>
        </w:tabs>
        <w:ind w:left="1440" w:hanging="360"/>
      </w:pPr>
      <w:rPr>
        <w:rFonts w:ascii="Arial" w:hAnsi="Arial" w:hint="default"/>
      </w:rPr>
    </w:lvl>
    <w:lvl w:ilvl="2" w:tplc="00B8EA46" w:tentative="1">
      <w:start w:val="1"/>
      <w:numFmt w:val="bullet"/>
      <w:lvlText w:val="•"/>
      <w:lvlJc w:val="left"/>
      <w:pPr>
        <w:tabs>
          <w:tab w:val="num" w:pos="2160"/>
        </w:tabs>
        <w:ind w:left="2160" w:hanging="360"/>
      </w:pPr>
      <w:rPr>
        <w:rFonts w:ascii="Arial" w:hAnsi="Arial" w:hint="default"/>
      </w:rPr>
    </w:lvl>
    <w:lvl w:ilvl="3" w:tplc="09F44E4E" w:tentative="1">
      <w:start w:val="1"/>
      <w:numFmt w:val="bullet"/>
      <w:lvlText w:val="•"/>
      <w:lvlJc w:val="left"/>
      <w:pPr>
        <w:tabs>
          <w:tab w:val="num" w:pos="2880"/>
        </w:tabs>
        <w:ind w:left="2880" w:hanging="360"/>
      </w:pPr>
      <w:rPr>
        <w:rFonts w:ascii="Arial" w:hAnsi="Arial" w:hint="default"/>
      </w:rPr>
    </w:lvl>
    <w:lvl w:ilvl="4" w:tplc="84A43166" w:tentative="1">
      <w:start w:val="1"/>
      <w:numFmt w:val="bullet"/>
      <w:lvlText w:val="•"/>
      <w:lvlJc w:val="left"/>
      <w:pPr>
        <w:tabs>
          <w:tab w:val="num" w:pos="3600"/>
        </w:tabs>
        <w:ind w:left="3600" w:hanging="360"/>
      </w:pPr>
      <w:rPr>
        <w:rFonts w:ascii="Arial" w:hAnsi="Arial" w:hint="default"/>
      </w:rPr>
    </w:lvl>
    <w:lvl w:ilvl="5" w:tplc="97CAB3FA" w:tentative="1">
      <w:start w:val="1"/>
      <w:numFmt w:val="bullet"/>
      <w:lvlText w:val="•"/>
      <w:lvlJc w:val="left"/>
      <w:pPr>
        <w:tabs>
          <w:tab w:val="num" w:pos="4320"/>
        </w:tabs>
        <w:ind w:left="4320" w:hanging="360"/>
      </w:pPr>
      <w:rPr>
        <w:rFonts w:ascii="Arial" w:hAnsi="Arial" w:hint="default"/>
      </w:rPr>
    </w:lvl>
    <w:lvl w:ilvl="6" w:tplc="28D6F5F4" w:tentative="1">
      <w:start w:val="1"/>
      <w:numFmt w:val="bullet"/>
      <w:lvlText w:val="•"/>
      <w:lvlJc w:val="left"/>
      <w:pPr>
        <w:tabs>
          <w:tab w:val="num" w:pos="5040"/>
        </w:tabs>
        <w:ind w:left="5040" w:hanging="360"/>
      </w:pPr>
      <w:rPr>
        <w:rFonts w:ascii="Arial" w:hAnsi="Arial" w:hint="default"/>
      </w:rPr>
    </w:lvl>
    <w:lvl w:ilvl="7" w:tplc="301E7A20" w:tentative="1">
      <w:start w:val="1"/>
      <w:numFmt w:val="bullet"/>
      <w:lvlText w:val="•"/>
      <w:lvlJc w:val="left"/>
      <w:pPr>
        <w:tabs>
          <w:tab w:val="num" w:pos="5760"/>
        </w:tabs>
        <w:ind w:left="5760" w:hanging="360"/>
      </w:pPr>
      <w:rPr>
        <w:rFonts w:ascii="Arial" w:hAnsi="Arial" w:hint="default"/>
      </w:rPr>
    </w:lvl>
    <w:lvl w:ilvl="8" w:tplc="B592225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FEC63AC"/>
    <w:multiLevelType w:val="multilevel"/>
    <w:tmpl w:val="3520656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85B"/>
    <w:rsid w:val="0000175E"/>
    <w:rsid w:val="000332F5"/>
    <w:rsid w:val="00045099"/>
    <w:rsid w:val="000B2263"/>
    <w:rsid w:val="000F1FF6"/>
    <w:rsid w:val="00140E69"/>
    <w:rsid w:val="00212C97"/>
    <w:rsid w:val="00247713"/>
    <w:rsid w:val="002B399D"/>
    <w:rsid w:val="003575ED"/>
    <w:rsid w:val="00367DF9"/>
    <w:rsid w:val="00374980"/>
    <w:rsid w:val="003F22FB"/>
    <w:rsid w:val="00402B21"/>
    <w:rsid w:val="00410F41"/>
    <w:rsid w:val="0042066B"/>
    <w:rsid w:val="00521B17"/>
    <w:rsid w:val="00530D25"/>
    <w:rsid w:val="00583DAD"/>
    <w:rsid w:val="00596E4B"/>
    <w:rsid w:val="005F085B"/>
    <w:rsid w:val="00686980"/>
    <w:rsid w:val="006C0F7A"/>
    <w:rsid w:val="006C7B69"/>
    <w:rsid w:val="006E236A"/>
    <w:rsid w:val="0071183C"/>
    <w:rsid w:val="00713D4A"/>
    <w:rsid w:val="00797B51"/>
    <w:rsid w:val="007A5B53"/>
    <w:rsid w:val="007B13B5"/>
    <w:rsid w:val="007E3207"/>
    <w:rsid w:val="00850365"/>
    <w:rsid w:val="008944E7"/>
    <w:rsid w:val="008B1922"/>
    <w:rsid w:val="008D2FD8"/>
    <w:rsid w:val="00A13134"/>
    <w:rsid w:val="00A159F4"/>
    <w:rsid w:val="00A15C4E"/>
    <w:rsid w:val="00A71352"/>
    <w:rsid w:val="00A83EAC"/>
    <w:rsid w:val="00A85F1A"/>
    <w:rsid w:val="00B044B4"/>
    <w:rsid w:val="00B23227"/>
    <w:rsid w:val="00BE76E9"/>
    <w:rsid w:val="00EF6687"/>
    <w:rsid w:val="00F972D1"/>
    <w:rsid w:val="00FD3F8D"/>
    <w:rsid w:val="00FD75B7"/>
    <w:rsid w:val="01DD00AC"/>
    <w:rsid w:val="144C18E9"/>
    <w:rsid w:val="1E212A98"/>
    <w:rsid w:val="27EDB26B"/>
    <w:rsid w:val="2FAB36BA"/>
    <w:rsid w:val="30F42F54"/>
    <w:rsid w:val="31CEC9EA"/>
    <w:rsid w:val="36DEA994"/>
    <w:rsid w:val="4A1701E3"/>
    <w:rsid w:val="4FB50D9F"/>
    <w:rsid w:val="5C1BD5BB"/>
    <w:rsid w:val="5C56E13C"/>
    <w:rsid w:val="680AF686"/>
    <w:rsid w:val="73BFC889"/>
    <w:rsid w:val="7A85D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9058E"/>
  <w15:docId w15:val="{73F0F099-BAD1-4018-85A5-FE6563E2D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ibliography">
    <w:name w:val="Bibliography"/>
    <w:basedOn w:val="Normal"/>
    <w:next w:val="Normal"/>
    <w:uiPriority w:val="37"/>
    <w:unhideWhenUsed/>
    <w:rsid w:val="00713D4A"/>
    <w:pPr>
      <w:tabs>
        <w:tab w:val="left" w:pos="384"/>
      </w:tabs>
      <w:spacing w:after="240"/>
      <w:ind w:left="384" w:hanging="384"/>
    </w:p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NormalWeb">
    <w:name w:val="Normal (Web)"/>
    <w:basedOn w:val="Normal"/>
    <w:uiPriority w:val="99"/>
    <w:semiHidden/>
    <w:unhideWhenUsed/>
    <w:rsid w:val="00367DF9"/>
    <w:pPr>
      <w:widowControl/>
    </w:pPr>
    <w:rPr>
      <w:sz w:val="24"/>
      <w:szCs w:val="24"/>
      <w:lang w:val="da-DK" w:eastAsia="da-DK"/>
    </w:rPr>
  </w:style>
  <w:style w:type="paragraph" w:styleId="ListParagraph">
    <w:name w:val="List Paragraph"/>
    <w:basedOn w:val="Normal"/>
    <w:uiPriority w:val="34"/>
    <w:qFormat/>
    <w:rsid w:val="00BE76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141161">
      <w:bodyDiv w:val="1"/>
      <w:marLeft w:val="0"/>
      <w:marRight w:val="0"/>
      <w:marTop w:val="0"/>
      <w:marBottom w:val="0"/>
      <w:divBdr>
        <w:top w:val="none" w:sz="0" w:space="0" w:color="auto"/>
        <w:left w:val="none" w:sz="0" w:space="0" w:color="auto"/>
        <w:bottom w:val="none" w:sz="0" w:space="0" w:color="auto"/>
        <w:right w:val="none" w:sz="0" w:space="0" w:color="auto"/>
      </w:divBdr>
      <w:divsChild>
        <w:div w:id="1401708727">
          <w:marLeft w:val="806"/>
          <w:marRight w:val="0"/>
          <w:marTop w:val="0"/>
          <w:marBottom w:val="0"/>
          <w:divBdr>
            <w:top w:val="none" w:sz="0" w:space="0" w:color="auto"/>
            <w:left w:val="none" w:sz="0" w:space="0" w:color="auto"/>
            <w:bottom w:val="none" w:sz="0" w:space="0" w:color="auto"/>
            <w:right w:val="none" w:sz="0" w:space="0" w:color="auto"/>
          </w:divBdr>
        </w:div>
        <w:div w:id="79299074">
          <w:marLeft w:val="806"/>
          <w:marRight w:val="0"/>
          <w:marTop w:val="0"/>
          <w:marBottom w:val="0"/>
          <w:divBdr>
            <w:top w:val="none" w:sz="0" w:space="0" w:color="auto"/>
            <w:left w:val="none" w:sz="0" w:space="0" w:color="auto"/>
            <w:bottom w:val="none" w:sz="0" w:space="0" w:color="auto"/>
            <w:right w:val="none" w:sz="0" w:space="0" w:color="auto"/>
          </w:divBdr>
        </w:div>
      </w:divsChild>
    </w:div>
    <w:div w:id="318122820">
      <w:bodyDiv w:val="1"/>
      <w:marLeft w:val="0"/>
      <w:marRight w:val="0"/>
      <w:marTop w:val="0"/>
      <w:marBottom w:val="0"/>
      <w:divBdr>
        <w:top w:val="none" w:sz="0" w:space="0" w:color="auto"/>
        <w:left w:val="none" w:sz="0" w:space="0" w:color="auto"/>
        <w:bottom w:val="none" w:sz="0" w:space="0" w:color="auto"/>
        <w:right w:val="none" w:sz="0" w:space="0" w:color="auto"/>
      </w:divBdr>
    </w:div>
    <w:div w:id="486172680">
      <w:bodyDiv w:val="1"/>
      <w:marLeft w:val="0"/>
      <w:marRight w:val="0"/>
      <w:marTop w:val="0"/>
      <w:marBottom w:val="0"/>
      <w:divBdr>
        <w:top w:val="none" w:sz="0" w:space="0" w:color="auto"/>
        <w:left w:val="none" w:sz="0" w:space="0" w:color="auto"/>
        <w:bottom w:val="none" w:sz="0" w:space="0" w:color="auto"/>
        <w:right w:val="none" w:sz="0" w:space="0" w:color="auto"/>
      </w:divBdr>
    </w:div>
    <w:div w:id="1055934333">
      <w:bodyDiv w:val="1"/>
      <w:marLeft w:val="0"/>
      <w:marRight w:val="0"/>
      <w:marTop w:val="0"/>
      <w:marBottom w:val="0"/>
      <w:divBdr>
        <w:top w:val="none" w:sz="0" w:space="0" w:color="auto"/>
        <w:left w:val="none" w:sz="0" w:space="0" w:color="auto"/>
        <w:bottom w:val="none" w:sz="0" w:space="0" w:color="auto"/>
        <w:right w:val="none" w:sz="0" w:space="0" w:color="auto"/>
      </w:divBdr>
    </w:div>
    <w:div w:id="1278677019">
      <w:bodyDiv w:val="1"/>
      <w:marLeft w:val="0"/>
      <w:marRight w:val="0"/>
      <w:marTop w:val="0"/>
      <w:marBottom w:val="0"/>
      <w:divBdr>
        <w:top w:val="none" w:sz="0" w:space="0" w:color="auto"/>
        <w:left w:val="none" w:sz="0" w:space="0" w:color="auto"/>
        <w:bottom w:val="none" w:sz="0" w:space="0" w:color="auto"/>
        <w:right w:val="none" w:sz="0" w:space="0" w:color="auto"/>
      </w:divBdr>
    </w:div>
    <w:div w:id="1359694059">
      <w:bodyDiv w:val="1"/>
      <w:marLeft w:val="0"/>
      <w:marRight w:val="0"/>
      <w:marTop w:val="0"/>
      <w:marBottom w:val="0"/>
      <w:divBdr>
        <w:top w:val="none" w:sz="0" w:space="0" w:color="auto"/>
        <w:left w:val="none" w:sz="0" w:space="0" w:color="auto"/>
        <w:bottom w:val="none" w:sz="0" w:space="0" w:color="auto"/>
        <w:right w:val="none" w:sz="0" w:space="0" w:color="auto"/>
      </w:divBdr>
      <w:divsChild>
        <w:div w:id="1167281470">
          <w:marLeft w:val="0"/>
          <w:marRight w:val="0"/>
          <w:marTop w:val="0"/>
          <w:marBottom w:val="0"/>
          <w:divBdr>
            <w:top w:val="none" w:sz="0" w:space="0" w:color="auto"/>
            <w:left w:val="none" w:sz="0" w:space="0" w:color="auto"/>
            <w:bottom w:val="none" w:sz="0" w:space="0" w:color="auto"/>
            <w:right w:val="none" w:sz="0" w:space="0" w:color="auto"/>
          </w:divBdr>
        </w:div>
      </w:divsChild>
    </w:div>
    <w:div w:id="1497651097">
      <w:bodyDiv w:val="1"/>
      <w:marLeft w:val="0"/>
      <w:marRight w:val="0"/>
      <w:marTop w:val="0"/>
      <w:marBottom w:val="0"/>
      <w:divBdr>
        <w:top w:val="none" w:sz="0" w:space="0" w:color="auto"/>
        <w:left w:val="none" w:sz="0" w:space="0" w:color="auto"/>
        <w:bottom w:val="none" w:sz="0" w:space="0" w:color="auto"/>
        <w:right w:val="none" w:sz="0" w:space="0" w:color="auto"/>
      </w:divBdr>
    </w:div>
    <w:div w:id="19333215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46781B4DA90544B013ACE346A17C89" ma:contentTypeVersion="4" ma:contentTypeDescription="Create a new document." ma:contentTypeScope="" ma:versionID="b9d8461e415bff80892d192fa18b811e">
  <xsd:schema xmlns:xsd="http://www.w3.org/2001/XMLSchema" xmlns:xs="http://www.w3.org/2001/XMLSchema" xmlns:p="http://schemas.microsoft.com/office/2006/metadata/properties" xmlns:ns2="c4bb2390-e4f2-4720-a125-1d0c0fccdbb4" targetNamespace="http://schemas.microsoft.com/office/2006/metadata/properties" ma:root="true" ma:fieldsID="2e7bb6889daad46b985ca65d270a7471" ns2:_="">
    <xsd:import namespace="c4bb2390-e4f2-4720-a125-1d0c0fccdbb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bb2390-e4f2-4720-a125-1d0c0fccdb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6DCC22-4D11-4E76-9D73-E2621122B4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bb2390-e4f2-4720-a125-1d0c0fccdb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F817E3-25CD-4B8F-BBE7-982DB969EB8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4F962F8-74A1-4AC9-8EF9-903D6469B22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4140</Words>
  <Characters>23604</Characters>
  <Application>Microsoft Office Word</Application>
  <DocSecurity>0</DocSecurity>
  <Lines>196</Lines>
  <Paragraphs>55</Paragraphs>
  <ScaleCrop>false</ScaleCrop>
  <Company/>
  <LinksUpToDate>false</LinksUpToDate>
  <CharactersWithSpaces>27689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Viviane Annabelle Lin</dc:creator>
  <cp:lastModifiedBy>Viviane Lin</cp:lastModifiedBy>
  <cp:revision>7</cp:revision>
  <dcterms:created xsi:type="dcterms:W3CDTF">2021-08-09T09:05:00Z</dcterms:created>
  <dcterms:modified xsi:type="dcterms:W3CDTF">2021-08-26T07:59:00Z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id="LDV1nYgf"/&gt;&lt;style id="http://www.zotero.org/styles/vancouver" locale="en-US"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y fmtid="{D5CDD505-2E9C-101B-9397-08002B2CF9AE}" pid="4" name="ContentTypeId">
    <vt:lpwstr>0x0101003E46781B4DA90544B013ACE346A17C89</vt:lpwstr>
  </property>
</Properties>
</file>