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721857C2" w14:textId="578F52D4" w:rsidR="00E56BB2" w:rsidRDefault="00E5494A" w:rsidP="00E5494A">
      <w:pPr>
        <w:pBdr>
          <w:top w:val="nil"/>
          <w:left w:val="nil"/>
          <w:bottom w:val="nil"/>
          <w:right w:val="nil"/>
          <w:between w:val="nil"/>
        </w:pBdr>
        <w:spacing w:after="280"/>
        <w:ind w:firstLine="720"/>
        <w:jc w:val="center"/>
        <w:rPr>
          <w:rFonts w:ascii="Calibri" w:eastAsia="Calibri" w:hAnsi="Calibri" w:cs="Calibri"/>
          <w:b/>
          <w:sz w:val="22"/>
          <w:szCs w:val="22"/>
          <w:vertAlign w:val="superscript"/>
        </w:rPr>
      </w:pPr>
      <w:r>
        <w:rPr>
          <w:rFonts w:ascii="Calibri" w:eastAsia="Calibri" w:hAnsi="Calibri" w:cs="Calibri"/>
          <w:b/>
          <w:color w:val="000000"/>
          <w:sz w:val="28"/>
          <w:szCs w:val="28"/>
        </w:rPr>
        <w:t>TREAD: Treatment with antidiabetics in patients with T2D and moderate to severe CKD</w:t>
      </w:r>
    </w:p>
    <w:p w14:paraId="2AEB9148" w14:textId="1AAB451B" w:rsidR="00E5494A" w:rsidRPr="00FC0142" w:rsidRDefault="007D61B5" w:rsidP="00E5494A">
      <w:pPr>
        <w:pBdr>
          <w:top w:val="nil"/>
          <w:left w:val="nil"/>
          <w:bottom w:val="nil"/>
          <w:right w:val="nil"/>
          <w:between w:val="nil"/>
        </w:pBdr>
        <w:jc w:val="center"/>
        <w:rPr>
          <w:rFonts w:ascii="Calibri" w:eastAsia="Calibri" w:hAnsi="Calibri" w:cs="Calibri"/>
          <w:b/>
          <w:color w:val="000000"/>
          <w:sz w:val="22"/>
          <w:szCs w:val="22"/>
          <w:lang w:val="es-ES_tradnl"/>
        </w:rPr>
      </w:pPr>
      <w:r>
        <w:rPr>
          <w:rFonts w:ascii="Calibri" w:eastAsia="Calibri" w:hAnsi="Calibri" w:cs="Calibri"/>
          <w:b/>
          <w:sz w:val="22"/>
          <w:szCs w:val="22"/>
          <w:lang w:val="es-ES_tradnl"/>
        </w:rPr>
        <w:t>Martin Lavallee</w:t>
      </w:r>
      <w:r w:rsidR="00E5494A" w:rsidRPr="00FC0142">
        <w:rPr>
          <w:rFonts w:ascii="Calibri" w:eastAsia="Calibri" w:hAnsi="Calibri" w:cs="Calibri"/>
          <w:b/>
          <w:sz w:val="22"/>
          <w:szCs w:val="22"/>
          <w:lang w:val="es-ES_tradnl"/>
        </w:rPr>
        <w:t xml:space="preserve">, </w:t>
      </w:r>
      <w:r w:rsidR="00FE1F1B" w:rsidRPr="004C765D">
        <w:rPr>
          <w:rFonts w:ascii="Calibri" w:eastAsia="Calibri" w:hAnsi="Calibri" w:cs="Calibri"/>
          <w:b/>
          <w:sz w:val="22"/>
          <w:szCs w:val="22"/>
          <w:lang w:val="es-ES_tradnl"/>
        </w:rPr>
        <w:t>David Vizcaya,</w:t>
      </w:r>
      <w:r w:rsidR="00FE1F1B">
        <w:rPr>
          <w:rFonts w:ascii="Calibri" w:eastAsia="Calibri" w:hAnsi="Calibri" w:cs="Calibri"/>
          <w:b/>
          <w:sz w:val="22"/>
          <w:szCs w:val="22"/>
          <w:lang w:val="es-ES_tradnl"/>
        </w:rPr>
        <w:t xml:space="preserve"> </w:t>
      </w:r>
      <w:r w:rsidR="00E5494A" w:rsidRPr="00FC0142">
        <w:rPr>
          <w:rFonts w:ascii="Calibri" w:eastAsia="Calibri" w:hAnsi="Calibri" w:cs="Calibri"/>
          <w:b/>
          <w:sz w:val="22"/>
          <w:szCs w:val="22"/>
          <w:lang w:val="es-ES_tradnl"/>
        </w:rPr>
        <w:t xml:space="preserve">Ron Herrera, </w:t>
      </w:r>
      <w:r w:rsidR="00FE1F1B">
        <w:rPr>
          <w:rFonts w:ascii="Calibri" w:eastAsia="Calibri" w:hAnsi="Calibri" w:cs="Calibri"/>
          <w:b/>
          <w:sz w:val="22"/>
          <w:szCs w:val="22"/>
          <w:lang w:val="es-ES_tradnl"/>
        </w:rPr>
        <w:t>Niki Oberprieler,</w:t>
      </w:r>
      <w:r w:rsidR="00EF052B">
        <w:rPr>
          <w:rFonts w:ascii="Calibri" w:eastAsia="Calibri" w:hAnsi="Calibri" w:cs="Calibri"/>
          <w:b/>
          <w:sz w:val="22"/>
          <w:szCs w:val="22"/>
          <w:lang w:val="es-ES_tradnl"/>
        </w:rPr>
        <w:t xml:space="preserve"> Glen James,</w:t>
      </w:r>
      <w:r w:rsidR="00FE1F1B">
        <w:rPr>
          <w:rFonts w:ascii="Calibri" w:eastAsia="Calibri" w:hAnsi="Calibri" w:cs="Calibri"/>
          <w:b/>
          <w:sz w:val="22"/>
          <w:szCs w:val="22"/>
          <w:lang w:val="es-ES_tradnl"/>
        </w:rPr>
        <w:t xml:space="preserve"> </w:t>
      </w:r>
      <w:r w:rsidR="00E5494A" w:rsidRPr="00FC0142">
        <w:rPr>
          <w:rFonts w:ascii="Calibri" w:eastAsia="Calibri" w:hAnsi="Calibri" w:cs="Calibri"/>
          <w:b/>
          <w:sz w:val="22"/>
          <w:szCs w:val="22"/>
          <w:lang w:val="es-ES_tradnl"/>
        </w:rPr>
        <w:t xml:space="preserve">Darya Kosareva, and </w:t>
      </w:r>
      <w:r>
        <w:rPr>
          <w:rFonts w:ascii="Calibri" w:eastAsia="Calibri" w:hAnsi="Calibri" w:cs="Calibri"/>
          <w:b/>
          <w:sz w:val="22"/>
          <w:szCs w:val="22"/>
          <w:lang w:val="es-ES_tradnl"/>
        </w:rPr>
        <w:t>Asieh Golozar</w:t>
      </w:r>
      <w:r w:rsidR="00E5494A" w:rsidRPr="00FC0142">
        <w:rPr>
          <w:rFonts w:ascii="Calibri" w:eastAsia="Calibri" w:hAnsi="Calibri" w:cs="Calibri"/>
          <w:b/>
          <w:sz w:val="22"/>
          <w:szCs w:val="22"/>
          <w:lang w:val="es-ES_tradnl"/>
        </w:rPr>
        <w:t xml:space="preserve"> </w:t>
      </w:r>
    </w:p>
    <w:p w14:paraId="2A314EE6" w14:textId="6BED3F8C" w:rsidR="00E56BB2" w:rsidRPr="00FC0142" w:rsidRDefault="00E56BB2">
      <w:pPr>
        <w:pBdr>
          <w:top w:val="nil"/>
          <w:left w:val="nil"/>
          <w:bottom w:val="nil"/>
          <w:right w:val="nil"/>
          <w:between w:val="nil"/>
        </w:pBdr>
        <w:jc w:val="center"/>
        <w:rPr>
          <w:rFonts w:ascii="Calibri" w:eastAsia="Calibri" w:hAnsi="Calibri" w:cs="Calibri"/>
          <w:b/>
          <w:color w:val="000000"/>
          <w:sz w:val="22"/>
          <w:szCs w:val="22"/>
          <w:lang w:val="es-ES_tradnl"/>
        </w:rPr>
      </w:pPr>
    </w:p>
    <w:p w14:paraId="40AC9BEE" w14:textId="77777777" w:rsidR="00E56BB2" w:rsidRPr="00FC0142" w:rsidRDefault="00E56BB2">
      <w:pPr>
        <w:pBdr>
          <w:top w:val="nil"/>
          <w:left w:val="nil"/>
          <w:bottom w:val="nil"/>
          <w:right w:val="nil"/>
          <w:between w:val="nil"/>
        </w:pBdr>
        <w:spacing w:after="240"/>
        <w:jc w:val="center"/>
        <w:rPr>
          <w:rFonts w:ascii="Calibri" w:eastAsia="Calibri" w:hAnsi="Calibri" w:cs="Calibri"/>
          <w:b/>
          <w:color w:val="000000"/>
          <w:sz w:val="22"/>
          <w:szCs w:val="22"/>
          <w:lang w:val="es-ES_tradnl"/>
        </w:rPr>
        <w:sectPr w:rsidR="00E56BB2" w:rsidRPr="00FC0142">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0" w:footer="720" w:gutter="0"/>
          <w:pgNumType w:start="1"/>
          <w:cols w:space="720"/>
        </w:sectPr>
      </w:pPr>
    </w:p>
    <w:p w14:paraId="38E6D327" w14:textId="77777777" w:rsidR="00E56BB2" w:rsidRDefault="00A058B5">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sz w:val="22"/>
          <w:szCs w:val="22"/>
        </w:rPr>
        <w:t>Background</w:t>
      </w:r>
    </w:p>
    <w:p w14:paraId="25EB7646" w14:textId="1F35B840" w:rsidR="00E5494A" w:rsidRDefault="00E5494A">
      <w:pPr>
        <w:pBdr>
          <w:top w:val="nil"/>
          <w:left w:val="nil"/>
          <w:bottom w:val="nil"/>
          <w:right w:val="nil"/>
          <w:between w:val="nil"/>
        </w:pBdr>
        <w:spacing w:after="120"/>
        <w:jc w:val="both"/>
        <w:rPr>
          <w:rFonts w:ascii="Calibri" w:eastAsia="Calibri" w:hAnsi="Calibri" w:cs="Calibri"/>
          <w:color w:val="000000"/>
          <w:sz w:val="22"/>
          <w:szCs w:val="22"/>
        </w:rPr>
      </w:pPr>
      <w:r w:rsidRPr="00E5494A">
        <w:rPr>
          <w:rFonts w:ascii="Calibri" w:eastAsia="Calibri" w:hAnsi="Calibri" w:cs="Calibri"/>
          <w:color w:val="000000"/>
          <w:sz w:val="22"/>
          <w:szCs w:val="22"/>
        </w:rPr>
        <w:t>Chronic kidney disease (CKD) is a frequent complication of type 2 diabetes mellitus (T2D), so tight glycemic control is important for preventing progression of CKD</w:t>
      </w:r>
      <w:r>
        <w:rPr>
          <w:rFonts w:ascii="Calibri" w:eastAsia="Calibri" w:hAnsi="Calibri" w:cs="Calibri"/>
          <w:color w:val="000000"/>
          <w:sz w:val="22"/>
          <w:szCs w:val="22"/>
        </w:rPr>
        <w:t xml:space="preserve"> </w:t>
      </w:r>
      <w:r>
        <w:rPr>
          <w:rFonts w:ascii="Calibri" w:eastAsia="Calibri" w:hAnsi="Calibri" w:cs="Calibri"/>
          <w:color w:val="000000"/>
          <w:sz w:val="22"/>
          <w:szCs w:val="22"/>
        </w:rPr>
        <w:fldChar w:fldCharType="begin"/>
      </w:r>
      <w:r w:rsidR="0086739E">
        <w:rPr>
          <w:rFonts w:ascii="Calibri" w:eastAsia="Calibri" w:hAnsi="Calibri" w:cs="Calibri"/>
          <w:color w:val="000000"/>
          <w:sz w:val="22"/>
          <w:szCs w:val="22"/>
        </w:rPr>
        <w:instrText xml:space="preserve"> ADDIN ZOTERO_ITEM CSL_CITATION {"citationID":"xThXQkXU","properties":{"formattedCitation":"(1)","plainCitation":"(1)","noteIndex":0},"citationItems":[{"id":6,"uris":["http://zotero.org/users/local/y7qPMWzO/items/KBPKQPS9"],"itemData":{"id":6,"type":"article-journal","container-title":"Diabetes care","issue":"12","note":"ISBN: 0149-5992","page":"2669-2701","title":"Management of hyperglycemia in type 2 diabetes, 2018. A consensus report by the American Diabetes Association (ADA) and the European Association for the Study of Diabetes (EASD)","volume":"41","author":[{"family":"Davies","given":"Melanie J."},{"family":"D’Alessio","given":"David A."},{"family":"Fradkin","given":"Judith"},{"family":"Kernan","given":"Walter N."},{"family":"Mathieu","given":"Chantal"},{"family":"Mingrone","given":"Geltrude"},{"family":"Rossing","given":"Peter"},{"family":"Tsapas","given":"Apostolos"},{"family":"Wexler","given":"Deborah J."},{"family":"Buse","given":"John B."}],"issued":{"date-parts":[["2018"]]}}}],"schema":"https://github.com/citation-style-language/schema/raw/master/csl-citation.json"} </w:instrText>
      </w:r>
      <w:r>
        <w:rPr>
          <w:rFonts w:ascii="Calibri" w:eastAsia="Calibri" w:hAnsi="Calibri" w:cs="Calibri"/>
          <w:color w:val="000000"/>
          <w:sz w:val="22"/>
          <w:szCs w:val="22"/>
        </w:rPr>
        <w:fldChar w:fldCharType="separate"/>
      </w:r>
      <w:r w:rsidR="0086739E" w:rsidRPr="0086739E">
        <w:rPr>
          <w:rFonts w:ascii="Calibri" w:eastAsia="Calibri" w:hAnsi="Calibri" w:cs="Calibri"/>
          <w:sz w:val="22"/>
        </w:rPr>
        <w:t>(1)</w:t>
      </w:r>
      <w:r>
        <w:rPr>
          <w:rFonts w:ascii="Calibri" w:eastAsia="Calibri" w:hAnsi="Calibri" w:cs="Calibri"/>
          <w:color w:val="000000"/>
          <w:sz w:val="22"/>
          <w:szCs w:val="22"/>
        </w:rPr>
        <w:fldChar w:fldCharType="end"/>
      </w:r>
      <w:r w:rsidRPr="00E5494A">
        <w:rPr>
          <w:rFonts w:ascii="Calibri" w:eastAsia="Calibri" w:hAnsi="Calibri" w:cs="Calibri"/>
          <w:color w:val="000000"/>
          <w:sz w:val="22"/>
          <w:szCs w:val="22"/>
        </w:rPr>
        <w:t>. There are several anti-glycemics available in the US and EU market, however, due to different mechanisms, administration, side effects and patient renal health, there is no consensus treatment for persons with T2D and CKD</w:t>
      </w:r>
      <w:r w:rsidR="0086739E">
        <w:rPr>
          <w:rFonts w:ascii="Calibri" w:eastAsia="Calibri" w:hAnsi="Calibri" w:cs="Calibri"/>
          <w:color w:val="000000"/>
          <w:sz w:val="22"/>
          <w:szCs w:val="22"/>
        </w:rPr>
        <w:t xml:space="preserve"> </w:t>
      </w:r>
      <w:r w:rsidR="0086739E">
        <w:rPr>
          <w:rFonts w:ascii="Calibri" w:eastAsia="Calibri" w:hAnsi="Calibri" w:cs="Calibri"/>
          <w:color w:val="000000"/>
          <w:sz w:val="22"/>
          <w:szCs w:val="22"/>
        </w:rPr>
        <w:fldChar w:fldCharType="begin"/>
      </w:r>
      <w:r w:rsidR="0086739E">
        <w:rPr>
          <w:rFonts w:ascii="Calibri" w:eastAsia="Calibri" w:hAnsi="Calibri" w:cs="Calibri"/>
          <w:color w:val="000000"/>
          <w:sz w:val="22"/>
          <w:szCs w:val="22"/>
        </w:rPr>
        <w:instrText xml:space="preserve"> ADDIN ZOTERO_ITEM CSL_CITATION {"citationID":"tGhzUozl","properties":{"formattedCitation":"(1)","plainCitation":"(1)","noteIndex":0},"citationItems":[{"id":6,"uris":["http://zotero.org/users/local/y7qPMWzO/items/KBPKQPS9"],"itemData":{"id":6,"type":"article-journal","container-title":"Diabetes care","issue":"12","note":"ISBN: 0149-5992","page":"2669-2701","title":"Management of hyperglycemia in type 2 diabetes, 2018. A consensus report by the American Diabetes Association (ADA) and the European Association for the Study of Diabetes (EASD)","volume":"41","author":[{"family":"Davies","given":"Melanie J."},{"family":"D’Alessio","given":"David A."},{"family":"Fradkin","given":"Judith"},{"family":"Kernan","given":"Walter N."},{"family":"Mathieu","given":"Chantal"},{"family":"Mingrone","given":"Geltrude"},{"family":"Rossing","given":"Peter"},{"family":"Tsapas","given":"Apostolos"},{"family":"Wexler","given":"Deborah J."},{"family":"Buse","given":"John B."}],"issued":{"date-parts":[["2018"]]}}}],"schema":"https://github.com/citation-style-language/schema/raw/master/csl-citation.json"} </w:instrText>
      </w:r>
      <w:r w:rsidR="0086739E">
        <w:rPr>
          <w:rFonts w:ascii="Calibri" w:eastAsia="Calibri" w:hAnsi="Calibri" w:cs="Calibri"/>
          <w:color w:val="000000"/>
          <w:sz w:val="22"/>
          <w:szCs w:val="22"/>
        </w:rPr>
        <w:fldChar w:fldCharType="separate"/>
      </w:r>
      <w:r w:rsidR="0086739E" w:rsidRPr="0086739E">
        <w:rPr>
          <w:rFonts w:ascii="Calibri" w:eastAsia="Calibri" w:hAnsi="Calibri" w:cs="Calibri"/>
          <w:sz w:val="22"/>
        </w:rPr>
        <w:t>(1)</w:t>
      </w:r>
      <w:r w:rsidR="0086739E">
        <w:rPr>
          <w:rFonts w:ascii="Calibri" w:eastAsia="Calibri" w:hAnsi="Calibri" w:cs="Calibri"/>
          <w:color w:val="000000"/>
          <w:sz w:val="22"/>
          <w:szCs w:val="22"/>
        </w:rPr>
        <w:fldChar w:fldCharType="end"/>
      </w:r>
      <w:r w:rsidR="007735DF">
        <w:rPr>
          <w:rFonts w:ascii="Calibri" w:eastAsia="Calibri" w:hAnsi="Calibri" w:cs="Calibri"/>
          <w:color w:val="000000"/>
          <w:sz w:val="22"/>
          <w:szCs w:val="22"/>
        </w:rPr>
        <w:t xml:space="preserve">. </w:t>
      </w:r>
      <w:r w:rsidR="00322C26">
        <w:rPr>
          <w:rFonts w:ascii="Calibri" w:eastAsia="Calibri" w:hAnsi="Calibri" w:cs="Calibri"/>
          <w:color w:val="000000"/>
          <w:sz w:val="22"/>
          <w:szCs w:val="22"/>
        </w:rPr>
        <w:t xml:space="preserve">Further there is lack of real-world evidence on </w:t>
      </w:r>
      <w:r w:rsidR="00014F28">
        <w:rPr>
          <w:rFonts w:ascii="Calibri" w:eastAsia="Calibri" w:hAnsi="Calibri" w:cs="Calibri"/>
          <w:color w:val="000000"/>
          <w:sz w:val="22"/>
          <w:szCs w:val="22"/>
        </w:rPr>
        <w:t xml:space="preserve">drug utilization and treatment patterns focused on </w:t>
      </w:r>
      <w:r w:rsidR="00322C26">
        <w:rPr>
          <w:rFonts w:ascii="Calibri" w:eastAsia="Calibri" w:hAnsi="Calibri" w:cs="Calibri"/>
          <w:color w:val="000000"/>
          <w:sz w:val="22"/>
          <w:szCs w:val="22"/>
        </w:rPr>
        <w:t xml:space="preserve">patients with T2D and CKD.  </w:t>
      </w:r>
      <w:r w:rsidRPr="00E5494A">
        <w:rPr>
          <w:rFonts w:ascii="Calibri" w:eastAsia="Calibri" w:hAnsi="Calibri" w:cs="Calibri"/>
          <w:color w:val="000000"/>
          <w:sz w:val="22"/>
          <w:szCs w:val="22"/>
        </w:rPr>
        <w:t>This study aims to understand patient characteristics, comorbidities, comedications, and describe longitudinal treatment patterns of patients with CKD and T2D in the real world that initiate one of 6 anti-glycemic groups of medications.</w:t>
      </w:r>
      <w:r w:rsidR="00003FB6">
        <w:rPr>
          <w:rFonts w:ascii="Calibri" w:eastAsia="Calibri" w:hAnsi="Calibri" w:cs="Calibri"/>
          <w:color w:val="000000"/>
          <w:sz w:val="22"/>
          <w:szCs w:val="22"/>
        </w:rPr>
        <w:t xml:space="preserve"> </w:t>
      </w:r>
      <w:r w:rsidR="00E8664A">
        <w:rPr>
          <w:rFonts w:ascii="Calibri" w:eastAsia="Calibri" w:hAnsi="Calibri" w:cs="Calibri"/>
          <w:color w:val="000000"/>
          <w:sz w:val="22"/>
          <w:szCs w:val="22"/>
        </w:rPr>
        <w:t xml:space="preserve">This abstract reports on the study design and initial assessment of cohorts definition performance. </w:t>
      </w:r>
    </w:p>
    <w:p w14:paraId="37F6798D" w14:textId="6B7C984B" w:rsidR="00E56BB2" w:rsidRDefault="00A058B5">
      <w:pPr>
        <w:pBdr>
          <w:top w:val="nil"/>
          <w:left w:val="nil"/>
          <w:bottom w:val="nil"/>
          <w:right w:val="nil"/>
          <w:between w:val="nil"/>
        </w:pBdr>
        <w:spacing w:after="120"/>
        <w:jc w:val="both"/>
        <w:rPr>
          <w:rFonts w:ascii="Calibri" w:eastAsia="Calibri" w:hAnsi="Calibri" w:cs="Calibri"/>
          <w:sz w:val="22"/>
          <w:szCs w:val="22"/>
        </w:rPr>
      </w:pPr>
      <w:r>
        <w:rPr>
          <w:rFonts w:ascii="Calibri" w:eastAsia="Calibri" w:hAnsi="Calibri" w:cs="Calibri"/>
          <w:b/>
          <w:sz w:val="22"/>
          <w:szCs w:val="22"/>
        </w:rPr>
        <w:t>Methods</w:t>
      </w:r>
    </w:p>
    <w:p w14:paraId="448A3CC4" w14:textId="5BB569FC" w:rsidR="0071572A" w:rsidRDefault="00003FB6" w:rsidP="006D65F6">
      <w:pPr>
        <w:keepNext/>
        <w:pBdr>
          <w:top w:val="nil"/>
          <w:left w:val="nil"/>
          <w:bottom w:val="nil"/>
          <w:right w:val="nil"/>
          <w:between w:val="nil"/>
        </w:pBdr>
        <w:spacing w:before="120" w:after="120"/>
        <w:jc w:val="both"/>
        <w:rPr>
          <w:rFonts w:ascii="Calibri" w:eastAsia="Calibri" w:hAnsi="Calibri" w:cs="Calibri"/>
          <w:sz w:val="22"/>
          <w:szCs w:val="22"/>
        </w:rPr>
      </w:pPr>
      <w:r>
        <w:rPr>
          <w:rFonts w:ascii="Calibri" w:eastAsia="Calibri" w:hAnsi="Calibri" w:cs="Calibri"/>
          <w:sz w:val="22"/>
          <w:szCs w:val="22"/>
        </w:rPr>
        <w:t xml:space="preserve">This study uses data from </w:t>
      </w:r>
      <w:r w:rsidR="00876E84">
        <w:rPr>
          <w:rFonts w:ascii="Calibri" w:eastAsia="Calibri" w:hAnsi="Calibri" w:cs="Calibri"/>
          <w:sz w:val="22"/>
          <w:szCs w:val="22"/>
        </w:rPr>
        <w:t xml:space="preserve">a </w:t>
      </w:r>
      <w:r w:rsidR="00E5494A" w:rsidRPr="00E5494A">
        <w:rPr>
          <w:rFonts w:ascii="Calibri" w:eastAsia="Calibri" w:hAnsi="Calibri" w:cs="Calibri"/>
          <w:sz w:val="22"/>
          <w:szCs w:val="22"/>
        </w:rPr>
        <w:t>network of commercial electronic health records (EHRs) and national claims data, all standardized to the OMOP</w:t>
      </w:r>
      <w:r>
        <w:rPr>
          <w:rFonts w:ascii="Calibri" w:eastAsia="Calibri" w:hAnsi="Calibri" w:cs="Calibri"/>
          <w:sz w:val="22"/>
          <w:szCs w:val="22"/>
        </w:rPr>
        <w:t xml:space="preserve"> CDM</w:t>
      </w:r>
      <w:r w:rsidR="00E5494A" w:rsidRPr="00E5494A">
        <w:rPr>
          <w:rFonts w:ascii="Calibri" w:eastAsia="Calibri" w:hAnsi="Calibri" w:cs="Calibri"/>
          <w:sz w:val="22"/>
          <w:szCs w:val="22"/>
        </w:rPr>
        <w:t xml:space="preserve">. </w:t>
      </w:r>
      <w:r w:rsidR="0071572A">
        <w:rPr>
          <w:rFonts w:ascii="Calibri" w:eastAsia="Calibri" w:hAnsi="Calibri" w:cs="Calibri"/>
          <w:sz w:val="22"/>
          <w:szCs w:val="22"/>
        </w:rPr>
        <w:t xml:space="preserve">Data sources used in this study include: </w:t>
      </w:r>
    </w:p>
    <w:p w14:paraId="065A06BC" w14:textId="77777777" w:rsidR="0071572A" w:rsidRPr="008C0331" w:rsidRDefault="0071572A" w:rsidP="0071572A">
      <w:pPr>
        <w:pStyle w:val="ListParagraph"/>
        <w:keepNext/>
        <w:numPr>
          <w:ilvl w:val="0"/>
          <w:numId w:val="4"/>
        </w:numPr>
        <w:pBdr>
          <w:top w:val="nil"/>
          <w:left w:val="nil"/>
          <w:bottom w:val="nil"/>
          <w:right w:val="nil"/>
          <w:between w:val="nil"/>
        </w:pBdr>
        <w:spacing w:before="120" w:after="120"/>
        <w:ind w:left="720" w:hanging="360"/>
        <w:jc w:val="both"/>
        <w:rPr>
          <w:rFonts w:ascii="Calibri" w:eastAsia="Calibri" w:hAnsi="Calibri" w:cs="Calibri"/>
          <w:sz w:val="22"/>
          <w:szCs w:val="22"/>
        </w:rPr>
      </w:pPr>
      <w:r w:rsidRPr="008C0331">
        <w:rPr>
          <w:rFonts w:ascii="Calibri" w:eastAsia="Calibri" w:hAnsi="Calibri" w:cs="Calibri"/>
          <w:sz w:val="22"/>
          <w:szCs w:val="22"/>
        </w:rPr>
        <w:t xml:space="preserve">Optum Clinformatics – US claims database with patient data available from 1/2007 to 6/2021 </w:t>
      </w:r>
    </w:p>
    <w:p w14:paraId="46C10A2D" w14:textId="77777777" w:rsidR="0071572A" w:rsidRPr="008C0331" w:rsidRDefault="0071572A" w:rsidP="0071572A">
      <w:pPr>
        <w:pStyle w:val="ListParagraph"/>
        <w:keepNext/>
        <w:numPr>
          <w:ilvl w:val="0"/>
          <w:numId w:val="4"/>
        </w:numPr>
        <w:pBdr>
          <w:top w:val="nil"/>
          <w:left w:val="nil"/>
          <w:bottom w:val="nil"/>
          <w:right w:val="nil"/>
          <w:between w:val="nil"/>
        </w:pBdr>
        <w:spacing w:before="120" w:after="120"/>
        <w:ind w:left="720" w:hanging="360"/>
        <w:jc w:val="both"/>
        <w:rPr>
          <w:rFonts w:ascii="Calibri" w:eastAsia="Calibri" w:hAnsi="Calibri" w:cs="Calibri"/>
          <w:sz w:val="22"/>
          <w:szCs w:val="22"/>
        </w:rPr>
      </w:pPr>
      <w:r w:rsidRPr="008C0331">
        <w:rPr>
          <w:rFonts w:ascii="Calibri" w:eastAsia="Calibri" w:hAnsi="Calibri" w:cs="Calibri"/>
          <w:sz w:val="22"/>
          <w:szCs w:val="22"/>
        </w:rPr>
        <w:t>CPRD Gold – UK based EHR data covering 8% of the population in all four parts of the UK</w:t>
      </w:r>
    </w:p>
    <w:p w14:paraId="7D04FDCA" w14:textId="0657C4C7" w:rsidR="0071572A" w:rsidRDefault="0071572A" w:rsidP="007735DF">
      <w:pPr>
        <w:pStyle w:val="ListParagraph"/>
        <w:keepNext/>
        <w:numPr>
          <w:ilvl w:val="0"/>
          <w:numId w:val="4"/>
        </w:numPr>
        <w:pBdr>
          <w:top w:val="nil"/>
          <w:left w:val="nil"/>
          <w:bottom w:val="nil"/>
          <w:right w:val="nil"/>
          <w:between w:val="nil"/>
        </w:pBdr>
        <w:spacing w:before="120" w:after="120"/>
        <w:ind w:left="720" w:hanging="360"/>
        <w:jc w:val="both"/>
        <w:rPr>
          <w:rFonts w:ascii="Calibri" w:eastAsia="Calibri" w:hAnsi="Calibri" w:cs="Calibri"/>
          <w:sz w:val="22"/>
          <w:szCs w:val="22"/>
        </w:rPr>
      </w:pPr>
      <w:r w:rsidRPr="008C0331">
        <w:rPr>
          <w:rFonts w:ascii="Calibri" w:eastAsia="Calibri" w:hAnsi="Calibri" w:cs="Calibri"/>
          <w:sz w:val="22"/>
          <w:szCs w:val="22"/>
        </w:rPr>
        <w:t>Truven Marketscan- US claims database with patient data available from 1/2002 to 6/2020</w:t>
      </w:r>
    </w:p>
    <w:p w14:paraId="7024B4F9" w14:textId="2927C2C2" w:rsidR="007735DF" w:rsidRDefault="007735DF" w:rsidP="007735DF">
      <w:pPr>
        <w:pStyle w:val="ListParagraph"/>
        <w:keepNext/>
        <w:numPr>
          <w:ilvl w:val="0"/>
          <w:numId w:val="4"/>
        </w:numPr>
        <w:pBdr>
          <w:top w:val="nil"/>
          <w:left w:val="nil"/>
          <w:bottom w:val="nil"/>
          <w:right w:val="nil"/>
          <w:between w:val="nil"/>
        </w:pBdr>
        <w:spacing w:before="120" w:after="120"/>
        <w:ind w:left="720" w:hanging="360"/>
        <w:jc w:val="both"/>
        <w:rPr>
          <w:rFonts w:ascii="Calibri" w:eastAsia="Calibri" w:hAnsi="Calibri" w:cs="Calibri"/>
          <w:sz w:val="22"/>
          <w:szCs w:val="22"/>
        </w:rPr>
      </w:pPr>
      <w:r>
        <w:rPr>
          <w:rFonts w:ascii="Calibri" w:eastAsia="Calibri" w:hAnsi="Calibri" w:cs="Calibri"/>
          <w:sz w:val="22"/>
          <w:szCs w:val="22"/>
        </w:rPr>
        <w:t>CPRD AURUM – UK ba</w:t>
      </w:r>
      <w:r w:rsidR="00014F28">
        <w:rPr>
          <w:rFonts w:ascii="Calibri" w:eastAsia="Calibri" w:hAnsi="Calibri" w:cs="Calibri"/>
          <w:sz w:val="22"/>
          <w:szCs w:val="22"/>
        </w:rPr>
        <w:t xml:space="preserve">sed EHR data from general practices using the EMIS system. Currently only covers patients in England. </w:t>
      </w:r>
    </w:p>
    <w:p w14:paraId="049E784A" w14:textId="3845F86F" w:rsidR="007735DF" w:rsidRPr="007735DF" w:rsidRDefault="007735DF" w:rsidP="007735DF">
      <w:pPr>
        <w:pStyle w:val="ListParagraph"/>
        <w:keepNext/>
        <w:numPr>
          <w:ilvl w:val="0"/>
          <w:numId w:val="4"/>
        </w:numPr>
        <w:pBdr>
          <w:top w:val="nil"/>
          <w:left w:val="nil"/>
          <w:bottom w:val="nil"/>
          <w:right w:val="nil"/>
          <w:between w:val="nil"/>
        </w:pBdr>
        <w:spacing w:before="120" w:after="120"/>
        <w:ind w:left="720" w:hanging="360"/>
        <w:jc w:val="both"/>
        <w:rPr>
          <w:rFonts w:ascii="Calibri" w:eastAsia="Calibri" w:hAnsi="Calibri" w:cs="Calibri"/>
          <w:sz w:val="22"/>
          <w:szCs w:val="22"/>
        </w:rPr>
      </w:pPr>
      <w:r>
        <w:rPr>
          <w:rFonts w:ascii="Calibri" w:eastAsia="Calibri" w:hAnsi="Calibri" w:cs="Calibri"/>
          <w:sz w:val="22"/>
          <w:szCs w:val="22"/>
        </w:rPr>
        <w:t>O</w:t>
      </w:r>
      <w:r w:rsidR="00322C26">
        <w:rPr>
          <w:rFonts w:ascii="Calibri" w:eastAsia="Calibri" w:hAnsi="Calibri" w:cs="Calibri"/>
          <w:sz w:val="22"/>
          <w:szCs w:val="22"/>
        </w:rPr>
        <w:t xml:space="preserve">ptum </w:t>
      </w:r>
      <w:r w:rsidR="00EF052B">
        <w:rPr>
          <w:rFonts w:ascii="Calibri" w:eastAsia="Calibri" w:hAnsi="Calibri" w:cs="Calibri"/>
          <w:sz w:val="22"/>
          <w:szCs w:val="22"/>
        </w:rPr>
        <w:t>EMR</w:t>
      </w:r>
      <w:r w:rsidR="00014F28">
        <w:rPr>
          <w:rFonts w:ascii="Calibri" w:eastAsia="Calibri" w:hAnsi="Calibri" w:cs="Calibri"/>
          <w:sz w:val="22"/>
          <w:szCs w:val="22"/>
        </w:rPr>
        <w:t xml:space="preserve"> – A US based EHR with data from different healthcare provider organizations across all 50 states. </w:t>
      </w:r>
    </w:p>
    <w:p w14:paraId="21E5AF9E" w14:textId="7DCB583C" w:rsidR="0071572A" w:rsidRDefault="00E5494A" w:rsidP="006D65F6">
      <w:pPr>
        <w:keepNext/>
        <w:pBdr>
          <w:top w:val="nil"/>
          <w:left w:val="nil"/>
          <w:bottom w:val="nil"/>
          <w:right w:val="nil"/>
          <w:between w:val="nil"/>
        </w:pBdr>
        <w:spacing w:before="120" w:after="120"/>
        <w:jc w:val="both"/>
        <w:rPr>
          <w:rFonts w:ascii="Calibri" w:eastAsia="Calibri" w:hAnsi="Calibri" w:cs="Calibri"/>
          <w:sz w:val="22"/>
          <w:szCs w:val="22"/>
        </w:rPr>
      </w:pPr>
      <w:r w:rsidRPr="00E5494A">
        <w:rPr>
          <w:rFonts w:ascii="Calibri" w:eastAsia="Calibri" w:hAnsi="Calibri" w:cs="Calibri"/>
          <w:sz w:val="22"/>
          <w:szCs w:val="22"/>
        </w:rPr>
        <w:t>Cohorts of patients with CKD and T2D who initiated SGLT2 inhibitors, GLP1-RA, Sulfonylurea, DPP4 inhibitors, insulin, or metformin will be identified. Characteristics of these individuals at baseline and treatment patterns and outcomes after their index date will be described using routinely collected health care data mapped to OMOP CDM</w:t>
      </w:r>
      <w:r w:rsidR="00876E84">
        <w:rPr>
          <w:rFonts w:ascii="Calibri" w:eastAsia="Calibri" w:hAnsi="Calibri" w:cs="Calibri"/>
          <w:sz w:val="22"/>
          <w:szCs w:val="22"/>
        </w:rPr>
        <w:t xml:space="preserve">. </w:t>
      </w:r>
      <w:r w:rsidR="00876E84" w:rsidRPr="00E5494A">
        <w:rPr>
          <w:rFonts w:ascii="Calibri" w:eastAsia="Calibri" w:hAnsi="Calibri" w:cs="Calibri"/>
          <w:sz w:val="22"/>
          <w:szCs w:val="22"/>
        </w:rPr>
        <w:t xml:space="preserve">Outcomes </w:t>
      </w:r>
      <w:r w:rsidR="0071572A">
        <w:rPr>
          <w:rFonts w:ascii="Calibri" w:eastAsia="Calibri" w:hAnsi="Calibri" w:cs="Calibri"/>
          <w:sz w:val="22"/>
          <w:szCs w:val="22"/>
        </w:rPr>
        <w:t xml:space="preserve">studied in this work include: </w:t>
      </w:r>
    </w:p>
    <w:p w14:paraId="59D9CB99" w14:textId="0FADDC8A" w:rsidR="0071572A" w:rsidRPr="007735DF" w:rsidRDefault="00876E84" w:rsidP="007735DF">
      <w:pPr>
        <w:pStyle w:val="ListParagraph"/>
        <w:keepNext/>
        <w:numPr>
          <w:ilvl w:val="0"/>
          <w:numId w:val="5"/>
        </w:numPr>
        <w:pBdr>
          <w:top w:val="nil"/>
          <w:left w:val="nil"/>
          <w:bottom w:val="nil"/>
          <w:right w:val="nil"/>
          <w:between w:val="nil"/>
        </w:pBdr>
        <w:spacing w:before="120" w:after="120"/>
        <w:jc w:val="both"/>
        <w:rPr>
          <w:rFonts w:ascii="Calibri" w:eastAsia="Calibri" w:hAnsi="Calibri" w:cs="Calibri"/>
          <w:sz w:val="22"/>
          <w:szCs w:val="22"/>
        </w:rPr>
      </w:pPr>
      <w:r w:rsidRPr="007735DF">
        <w:rPr>
          <w:rFonts w:ascii="Calibri" w:eastAsia="Calibri" w:hAnsi="Calibri" w:cs="Calibri"/>
          <w:b/>
          <w:bCs/>
          <w:sz w:val="22"/>
          <w:szCs w:val="22"/>
        </w:rPr>
        <w:t>Treatment discontinuation</w:t>
      </w:r>
      <w:r w:rsidR="0071572A" w:rsidRPr="007735DF">
        <w:rPr>
          <w:rFonts w:ascii="Calibri" w:eastAsia="Calibri" w:hAnsi="Calibri" w:cs="Calibri"/>
          <w:b/>
          <w:bCs/>
          <w:sz w:val="22"/>
          <w:szCs w:val="22"/>
        </w:rPr>
        <w:t>:</w:t>
      </w:r>
      <w:r w:rsidR="0071572A" w:rsidRPr="007735DF">
        <w:rPr>
          <w:rFonts w:ascii="Calibri" w:eastAsia="Calibri" w:hAnsi="Calibri" w:cs="Calibri"/>
          <w:sz w:val="22"/>
          <w:szCs w:val="22"/>
        </w:rPr>
        <w:t xml:space="preserve"> </w:t>
      </w:r>
      <w:r w:rsidRPr="007735DF">
        <w:rPr>
          <w:rFonts w:ascii="Calibri" w:eastAsia="Calibri" w:hAnsi="Calibri" w:cs="Calibri"/>
          <w:sz w:val="22"/>
          <w:szCs w:val="22"/>
        </w:rPr>
        <w:t xml:space="preserve">defined as at least a 90-day gap following an index therapy prescription. </w:t>
      </w:r>
    </w:p>
    <w:p w14:paraId="46560229" w14:textId="1BF2534E" w:rsidR="0071572A" w:rsidRPr="007735DF" w:rsidRDefault="00876E84" w:rsidP="0071572A">
      <w:pPr>
        <w:pStyle w:val="ListParagraph"/>
        <w:keepNext/>
        <w:numPr>
          <w:ilvl w:val="0"/>
          <w:numId w:val="5"/>
        </w:numPr>
        <w:pBdr>
          <w:top w:val="nil"/>
          <w:left w:val="nil"/>
          <w:bottom w:val="nil"/>
          <w:right w:val="nil"/>
          <w:between w:val="nil"/>
        </w:pBdr>
        <w:spacing w:before="120" w:after="120"/>
        <w:jc w:val="both"/>
        <w:rPr>
          <w:rFonts w:ascii="Calibri" w:eastAsia="Calibri" w:hAnsi="Calibri" w:cs="Calibri"/>
          <w:sz w:val="22"/>
          <w:szCs w:val="22"/>
        </w:rPr>
      </w:pPr>
      <w:r w:rsidRPr="007735DF">
        <w:rPr>
          <w:rFonts w:ascii="Calibri" w:eastAsia="Calibri" w:hAnsi="Calibri" w:cs="Calibri"/>
          <w:b/>
          <w:bCs/>
          <w:sz w:val="22"/>
          <w:szCs w:val="22"/>
        </w:rPr>
        <w:t>Treatment switch</w:t>
      </w:r>
      <w:r w:rsidR="0071572A" w:rsidRPr="007735DF">
        <w:rPr>
          <w:rFonts w:ascii="Calibri" w:eastAsia="Calibri" w:hAnsi="Calibri" w:cs="Calibri"/>
          <w:b/>
          <w:bCs/>
          <w:sz w:val="22"/>
          <w:szCs w:val="22"/>
        </w:rPr>
        <w:t>:</w:t>
      </w:r>
      <w:r w:rsidRPr="007735DF">
        <w:rPr>
          <w:rFonts w:ascii="Calibri" w:eastAsia="Calibri" w:hAnsi="Calibri" w:cs="Calibri"/>
          <w:sz w:val="22"/>
          <w:szCs w:val="22"/>
        </w:rPr>
        <w:t xml:space="preserve"> defined as a new non-index prescription issued less than or equal to 30 days before or after discontinuation of the index therapy. A change to another drug within the same class is not considered a treatment switch. </w:t>
      </w:r>
    </w:p>
    <w:p w14:paraId="05C74BF5" w14:textId="53B3B0A7" w:rsidR="00E5494A" w:rsidRPr="007735DF" w:rsidRDefault="00886E7C" w:rsidP="0071572A">
      <w:pPr>
        <w:keepNext/>
        <w:pBdr>
          <w:top w:val="nil"/>
          <w:left w:val="nil"/>
          <w:bottom w:val="nil"/>
          <w:right w:val="nil"/>
          <w:between w:val="nil"/>
        </w:pBdr>
        <w:spacing w:before="120" w:after="120"/>
        <w:jc w:val="both"/>
        <w:rPr>
          <w:rFonts w:ascii="Calibri" w:eastAsia="Calibri" w:hAnsi="Calibri" w:cs="Calibri"/>
          <w:sz w:val="22"/>
          <w:szCs w:val="22"/>
        </w:rPr>
      </w:pPr>
      <w:r>
        <w:rPr>
          <w:rFonts w:ascii="Calibri" w:eastAsia="Calibri" w:hAnsi="Calibri" w:cs="Calibri"/>
          <w:sz w:val="22"/>
          <w:szCs w:val="22"/>
        </w:rPr>
        <w:t>Patients demographics and comorbidities in the year prior to index and outcomes</w:t>
      </w:r>
      <w:r w:rsidRPr="007735DF">
        <w:rPr>
          <w:rFonts w:ascii="Calibri" w:eastAsia="Calibri" w:hAnsi="Calibri" w:cs="Calibri"/>
          <w:sz w:val="22"/>
          <w:szCs w:val="22"/>
        </w:rPr>
        <w:t xml:space="preserve"> </w:t>
      </w:r>
      <w:r w:rsidR="00876E84" w:rsidRPr="007735DF">
        <w:rPr>
          <w:rFonts w:ascii="Calibri" w:eastAsia="Calibri" w:hAnsi="Calibri" w:cs="Calibri"/>
          <w:sz w:val="22"/>
          <w:szCs w:val="22"/>
        </w:rPr>
        <w:t>at 3-, 6-, 12- and 24- months of follow-up post index</w:t>
      </w:r>
      <w:r>
        <w:rPr>
          <w:rFonts w:ascii="Calibri" w:eastAsia="Calibri" w:hAnsi="Calibri" w:cs="Calibri"/>
          <w:sz w:val="22"/>
          <w:szCs w:val="22"/>
        </w:rPr>
        <w:t xml:space="preserve"> will be described</w:t>
      </w:r>
      <w:r w:rsidR="00876E84" w:rsidRPr="007735DF">
        <w:rPr>
          <w:rFonts w:ascii="Calibri" w:eastAsia="Calibri" w:hAnsi="Calibri" w:cs="Calibri"/>
          <w:sz w:val="22"/>
          <w:szCs w:val="22"/>
        </w:rPr>
        <w:t>.</w:t>
      </w:r>
    </w:p>
    <w:p w14:paraId="2EA91CD3" w14:textId="2578C4DD" w:rsidR="00E56BB2" w:rsidRDefault="00886E7C" w:rsidP="00E5494A">
      <w:pPr>
        <w:keepNext/>
        <w:pBdr>
          <w:top w:val="nil"/>
          <w:left w:val="nil"/>
          <w:bottom w:val="nil"/>
          <w:right w:val="nil"/>
          <w:between w:val="nil"/>
        </w:pBdr>
        <w:spacing w:before="120" w:after="120"/>
        <w:jc w:val="both"/>
        <w:rPr>
          <w:rFonts w:ascii="Calibri" w:eastAsia="Calibri" w:hAnsi="Calibri" w:cs="Calibri"/>
          <w:b/>
          <w:color w:val="000000"/>
          <w:sz w:val="22"/>
          <w:szCs w:val="22"/>
        </w:rPr>
      </w:pPr>
      <w:r w:rsidRPr="007735DF">
        <w:rPr>
          <w:rFonts w:ascii="Calibri" w:eastAsia="Calibri" w:hAnsi="Calibri" w:cs="Calibri"/>
          <w:b/>
          <w:bCs/>
          <w:sz w:val="22"/>
          <w:szCs w:val="22"/>
        </w:rPr>
        <w:t xml:space="preserve">Preliminary </w:t>
      </w:r>
      <w:r w:rsidR="00A058B5">
        <w:rPr>
          <w:rFonts w:ascii="Calibri" w:eastAsia="Calibri" w:hAnsi="Calibri" w:cs="Calibri"/>
          <w:b/>
          <w:sz w:val="22"/>
          <w:szCs w:val="22"/>
        </w:rPr>
        <w:t>Results</w:t>
      </w:r>
    </w:p>
    <w:p w14:paraId="4C3236E5" w14:textId="4C8B40D4" w:rsidR="00515665" w:rsidRDefault="00515665">
      <w:pPr>
        <w:pBdr>
          <w:top w:val="nil"/>
          <w:left w:val="nil"/>
          <w:bottom w:val="nil"/>
          <w:right w:val="nil"/>
          <w:between w:val="nil"/>
        </w:pBdr>
        <w:tabs>
          <w:tab w:val="left" w:pos="9360"/>
        </w:tabs>
        <w:spacing w:after="120"/>
        <w:jc w:val="both"/>
        <w:rPr>
          <w:rFonts w:ascii="Calibri" w:eastAsia="Calibri" w:hAnsi="Calibri" w:cs="Calibri"/>
          <w:color w:val="000000"/>
          <w:sz w:val="22"/>
          <w:szCs w:val="22"/>
        </w:rPr>
      </w:pPr>
      <w:r>
        <w:rPr>
          <w:rFonts w:ascii="Calibri" w:eastAsia="Calibri" w:hAnsi="Calibri" w:cs="Calibri"/>
          <w:color w:val="000000"/>
          <w:sz w:val="22"/>
          <w:szCs w:val="22"/>
        </w:rPr>
        <w:t xml:space="preserve">For this analysis we have created an iterative process to refine the cohort definitions for antiglycemics drug users with T2D and CKD. To be included in the cohort, the patient must have a valid case of T2D and CKD. For the case of T2D we used the phenotype from eMERGE (cite). For a valid case of CKD, we used a </w:t>
      </w:r>
      <w:r>
        <w:rPr>
          <w:rFonts w:ascii="Calibri" w:eastAsia="Calibri" w:hAnsi="Calibri" w:cs="Calibri"/>
          <w:color w:val="000000"/>
          <w:sz w:val="22"/>
          <w:szCs w:val="22"/>
        </w:rPr>
        <w:lastRenderedPageBreak/>
        <w:t>phenotype definition from an institutional study</w:t>
      </w:r>
      <w:r w:rsidR="0088200A">
        <w:rPr>
          <w:rFonts w:ascii="Calibri" w:eastAsia="Calibri" w:hAnsi="Calibri" w:cs="Calibri"/>
          <w:color w:val="000000"/>
          <w:sz w:val="22"/>
          <w:szCs w:val="22"/>
        </w:rPr>
        <w:t xml:space="preserve">. After defining the inclusion rules, we optimized concept set expressions using PHOEBE to ensure we have used the most comprehensive concept sets. We used Capr to generate multiple cohort definition based on a skeleton, which was then evaluated using cohort diagnostics. Following review of cohort </w:t>
      </w:r>
      <w:r w:rsidR="0072231B">
        <w:rPr>
          <w:rFonts w:ascii="Calibri" w:eastAsia="Calibri" w:hAnsi="Calibri" w:cs="Calibri"/>
          <w:color w:val="000000"/>
          <w:sz w:val="22"/>
          <w:szCs w:val="22"/>
        </w:rPr>
        <w:t>diagnostics,</w:t>
      </w:r>
      <w:r w:rsidR="0088200A">
        <w:rPr>
          <w:rFonts w:ascii="Calibri" w:eastAsia="Calibri" w:hAnsi="Calibri" w:cs="Calibri"/>
          <w:color w:val="000000"/>
          <w:sz w:val="22"/>
          <w:szCs w:val="22"/>
        </w:rPr>
        <w:t xml:space="preserve"> we updated the cohort definitions for antiglycemics drug users with T2D and CKD and iterated until agreement was reached for the final cohort definitions for analysis. </w:t>
      </w:r>
    </w:p>
    <w:p w14:paraId="1A331F37" w14:textId="5617D54A" w:rsidR="0088200A" w:rsidRDefault="008C0331">
      <w:pPr>
        <w:pBdr>
          <w:top w:val="nil"/>
          <w:left w:val="nil"/>
          <w:bottom w:val="nil"/>
          <w:right w:val="nil"/>
          <w:between w:val="nil"/>
        </w:pBdr>
        <w:tabs>
          <w:tab w:val="left" w:pos="9360"/>
        </w:tabs>
        <w:spacing w:after="120"/>
        <w:jc w:val="both"/>
        <w:rPr>
          <w:rFonts w:ascii="Calibri" w:eastAsia="Calibri" w:hAnsi="Calibri" w:cs="Calibri"/>
          <w:color w:val="000000"/>
          <w:sz w:val="22"/>
          <w:szCs w:val="22"/>
        </w:rPr>
      </w:pPr>
      <w:r>
        <w:rPr>
          <w:rFonts w:ascii="Calibri" w:eastAsia="Calibri" w:hAnsi="Calibri" w:cs="Calibri"/>
          <w:color w:val="000000"/>
          <w:sz w:val="22"/>
          <w:szCs w:val="22"/>
        </w:rPr>
        <w:t xml:space="preserve">We have produced preliminary results from the </w:t>
      </w:r>
      <w:r w:rsidR="00A072D7">
        <w:rPr>
          <w:rFonts w:ascii="Calibri" w:eastAsia="Calibri" w:hAnsi="Calibri" w:cs="Calibri"/>
          <w:color w:val="000000"/>
          <w:sz w:val="22"/>
          <w:szCs w:val="22"/>
        </w:rPr>
        <w:t>O</w:t>
      </w:r>
      <w:r w:rsidR="00CF19CB">
        <w:rPr>
          <w:rFonts w:ascii="Calibri" w:eastAsia="Calibri" w:hAnsi="Calibri" w:cs="Calibri"/>
          <w:color w:val="000000"/>
          <w:sz w:val="22"/>
          <w:szCs w:val="22"/>
        </w:rPr>
        <w:t>ptum</w:t>
      </w:r>
      <w:r>
        <w:rPr>
          <w:rFonts w:ascii="Calibri" w:eastAsia="Calibri" w:hAnsi="Calibri" w:cs="Calibri"/>
          <w:color w:val="000000"/>
          <w:sz w:val="22"/>
          <w:szCs w:val="22"/>
        </w:rPr>
        <w:t xml:space="preserve"> database focusing on the distribution of the comorbidities</w:t>
      </w:r>
      <w:r w:rsidR="00346555">
        <w:rPr>
          <w:rFonts w:ascii="Calibri" w:eastAsia="Calibri" w:hAnsi="Calibri" w:cs="Calibri"/>
          <w:color w:val="000000"/>
          <w:sz w:val="22"/>
          <w:szCs w:val="22"/>
        </w:rPr>
        <w:t xml:space="preserve"> and demographics</w:t>
      </w:r>
      <w:r>
        <w:rPr>
          <w:rFonts w:ascii="Calibri" w:eastAsia="Calibri" w:hAnsi="Calibri" w:cs="Calibri"/>
          <w:color w:val="000000"/>
          <w:sz w:val="22"/>
          <w:szCs w:val="22"/>
        </w:rPr>
        <w:t xml:space="preserve">. </w:t>
      </w:r>
      <w:r w:rsidR="0088200A">
        <w:rPr>
          <w:rFonts w:ascii="Calibri" w:eastAsia="Calibri" w:hAnsi="Calibri" w:cs="Calibri"/>
          <w:color w:val="000000"/>
          <w:sz w:val="22"/>
          <w:szCs w:val="22"/>
        </w:rPr>
        <w:t>From table 1, p</w:t>
      </w:r>
      <w:r w:rsidR="00A072D7">
        <w:rPr>
          <w:rFonts w:ascii="Calibri" w:eastAsia="Calibri" w:hAnsi="Calibri" w:cs="Calibri"/>
          <w:color w:val="000000"/>
          <w:sz w:val="22"/>
          <w:szCs w:val="22"/>
        </w:rPr>
        <w:t xml:space="preserve">atients demographics </w:t>
      </w:r>
      <w:r w:rsidR="00FC0142">
        <w:rPr>
          <w:rFonts w:ascii="Calibri" w:eastAsia="Calibri" w:hAnsi="Calibri" w:cs="Calibri"/>
          <w:color w:val="000000"/>
          <w:sz w:val="22"/>
          <w:szCs w:val="22"/>
        </w:rPr>
        <w:t xml:space="preserve">are largely uniform across the antiglycemic classes. There is some small variation in the </w:t>
      </w:r>
      <w:r w:rsidR="00284EA3">
        <w:rPr>
          <w:rFonts w:ascii="Calibri" w:eastAsia="Calibri" w:hAnsi="Calibri" w:cs="Calibri"/>
          <w:color w:val="000000"/>
          <w:sz w:val="22"/>
          <w:szCs w:val="22"/>
        </w:rPr>
        <w:t xml:space="preserve">biological sex attribute, where SGLT2 is prescribed to more males. </w:t>
      </w:r>
      <w:r w:rsidR="00346555">
        <w:rPr>
          <w:rFonts w:ascii="Calibri" w:eastAsia="Calibri" w:hAnsi="Calibri" w:cs="Calibri"/>
          <w:color w:val="000000"/>
          <w:sz w:val="22"/>
          <w:szCs w:val="22"/>
        </w:rPr>
        <w:t xml:space="preserve"> </w:t>
      </w:r>
      <w:r w:rsidR="00284EA3">
        <w:rPr>
          <w:rFonts w:ascii="Calibri" w:eastAsia="Calibri" w:hAnsi="Calibri" w:cs="Calibri"/>
          <w:color w:val="000000"/>
          <w:sz w:val="22"/>
          <w:szCs w:val="22"/>
        </w:rPr>
        <w:t xml:space="preserve">The </w:t>
      </w:r>
      <w:r w:rsidR="00346555">
        <w:rPr>
          <w:rFonts w:ascii="Calibri" w:eastAsia="Calibri" w:hAnsi="Calibri" w:cs="Calibri"/>
          <w:color w:val="000000"/>
          <w:sz w:val="22"/>
          <w:szCs w:val="22"/>
        </w:rPr>
        <w:t>drug index year shows changes as more patients are being prescribed newer antiglycemics like SGLT2 and GLP1</w:t>
      </w:r>
      <w:r w:rsidR="0088200A">
        <w:rPr>
          <w:rFonts w:ascii="Calibri" w:eastAsia="Calibri" w:hAnsi="Calibri" w:cs="Calibri"/>
          <w:color w:val="000000"/>
          <w:sz w:val="22"/>
          <w:szCs w:val="22"/>
        </w:rPr>
        <w:t xml:space="preserve">. </w:t>
      </w:r>
      <w:r w:rsidR="00346555">
        <w:rPr>
          <w:rFonts w:ascii="Calibri" w:eastAsia="Calibri" w:hAnsi="Calibri" w:cs="Calibri"/>
          <w:color w:val="000000"/>
          <w:sz w:val="22"/>
          <w:szCs w:val="22"/>
        </w:rPr>
        <w:t xml:space="preserve">Comorbidities in the year prior to initiation of the antiglycemic drugs </w:t>
      </w:r>
      <w:r w:rsidR="00284EA3">
        <w:rPr>
          <w:rFonts w:ascii="Calibri" w:eastAsia="Calibri" w:hAnsi="Calibri" w:cs="Calibri"/>
          <w:color w:val="000000"/>
          <w:sz w:val="22"/>
          <w:szCs w:val="22"/>
        </w:rPr>
        <w:t>had</w:t>
      </w:r>
      <w:r w:rsidR="00346555">
        <w:rPr>
          <w:rFonts w:ascii="Calibri" w:eastAsia="Calibri" w:hAnsi="Calibri" w:cs="Calibri"/>
          <w:color w:val="000000"/>
          <w:sz w:val="22"/>
          <w:szCs w:val="22"/>
        </w:rPr>
        <w:t xml:space="preserve"> similar</w:t>
      </w:r>
      <w:r w:rsidR="00284EA3">
        <w:rPr>
          <w:rFonts w:ascii="Calibri" w:eastAsia="Calibri" w:hAnsi="Calibri" w:cs="Calibri"/>
          <w:color w:val="000000"/>
          <w:sz w:val="22"/>
          <w:szCs w:val="22"/>
        </w:rPr>
        <w:t xml:space="preserve"> distribution</w:t>
      </w:r>
      <w:r w:rsidR="00346555">
        <w:rPr>
          <w:rFonts w:ascii="Calibri" w:eastAsia="Calibri" w:hAnsi="Calibri" w:cs="Calibri"/>
          <w:color w:val="000000"/>
          <w:sz w:val="22"/>
          <w:szCs w:val="22"/>
        </w:rPr>
        <w:t xml:space="preserve"> across </w:t>
      </w:r>
      <w:r w:rsidR="00284EA3">
        <w:rPr>
          <w:rFonts w:ascii="Calibri" w:eastAsia="Calibri" w:hAnsi="Calibri" w:cs="Calibri"/>
          <w:color w:val="000000"/>
          <w:sz w:val="22"/>
          <w:szCs w:val="22"/>
        </w:rPr>
        <w:t xml:space="preserve">antiglycemic </w:t>
      </w:r>
      <w:r w:rsidR="00346555">
        <w:rPr>
          <w:rFonts w:ascii="Calibri" w:eastAsia="Calibri" w:hAnsi="Calibri" w:cs="Calibri"/>
          <w:color w:val="000000"/>
          <w:sz w:val="22"/>
          <w:szCs w:val="22"/>
        </w:rPr>
        <w:t>cohorts per figure 1.</w:t>
      </w:r>
    </w:p>
    <w:p w14:paraId="761801A7" w14:textId="77777777" w:rsidR="0088200A" w:rsidRDefault="0088200A">
      <w:pPr>
        <w:pBdr>
          <w:top w:val="nil"/>
          <w:left w:val="nil"/>
          <w:bottom w:val="nil"/>
          <w:right w:val="nil"/>
          <w:between w:val="nil"/>
        </w:pBdr>
        <w:tabs>
          <w:tab w:val="left" w:pos="9360"/>
        </w:tabs>
        <w:spacing w:after="120"/>
        <w:jc w:val="both"/>
        <w:rPr>
          <w:rFonts w:ascii="Calibri" w:eastAsia="Calibri" w:hAnsi="Calibri" w:cs="Calibri"/>
          <w:color w:val="000000"/>
          <w:sz w:val="22"/>
          <w:szCs w:val="22"/>
        </w:rPr>
      </w:pPr>
    </w:p>
    <w:p w14:paraId="6FA66010" w14:textId="1D6B5971" w:rsidR="00E56BB2" w:rsidRDefault="00A058B5">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color w:val="000000"/>
          <w:sz w:val="22"/>
          <w:szCs w:val="22"/>
        </w:rPr>
        <w:t>Conclusion</w:t>
      </w:r>
    </w:p>
    <w:p w14:paraId="3A530577" w14:textId="5DB74085" w:rsidR="00284EA3" w:rsidRPr="0072231B" w:rsidRDefault="00284EA3">
      <w:pPr>
        <w:keepNext/>
        <w:pBdr>
          <w:top w:val="nil"/>
          <w:left w:val="nil"/>
          <w:bottom w:val="nil"/>
          <w:right w:val="nil"/>
          <w:between w:val="nil"/>
        </w:pBdr>
        <w:spacing w:before="120" w:after="120"/>
        <w:jc w:val="both"/>
        <w:rPr>
          <w:rFonts w:ascii="Calibri" w:eastAsia="Calibri" w:hAnsi="Calibri" w:cs="Calibri"/>
          <w:bCs/>
          <w:color w:val="000000"/>
          <w:sz w:val="22"/>
          <w:szCs w:val="22"/>
        </w:rPr>
      </w:pPr>
      <w:r>
        <w:rPr>
          <w:rFonts w:ascii="Calibri" w:eastAsia="Calibri" w:hAnsi="Calibri" w:cs="Calibri"/>
          <w:bCs/>
          <w:color w:val="000000"/>
          <w:sz w:val="22"/>
          <w:szCs w:val="22"/>
        </w:rPr>
        <w:t xml:space="preserve">The results presented in the abstract are preliminary and we will gain more perspective of the treatment patterns of T2D and CKD patients as we analyze further. So </w:t>
      </w:r>
      <w:r w:rsidR="00FD40C2">
        <w:rPr>
          <w:rFonts w:ascii="Calibri" w:eastAsia="Calibri" w:hAnsi="Calibri" w:cs="Calibri"/>
          <w:bCs/>
          <w:color w:val="000000"/>
          <w:sz w:val="22"/>
          <w:szCs w:val="22"/>
        </w:rPr>
        <w:t>far,</w:t>
      </w:r>
      <w:r>
        <w:rPr>
          <w:rFonts w:ascii="Calibri" w:eastAsia="Calibri" w:hAnsi="Calibri" w:cs="Calibri"/>
          <w:bCs/>
          <w:color w:val="000000"/>
          <w:sz w:val="22"/>
          <w:szCs w:val="22"/>
        </w:rPr>
        <w:t xml:space="preserve"> we show results from the Optum database, where demographic differences were highlighted in SGLT2. This antiglycemic class had more male patients and has an increase </w:t>
      </w:r>
      <w:r w:rsidR="00FD40C2">
        <w:rPr>
          <w:rFonts w:ascii="Calibri" w:eastAsia="Calibri" w:hAnsi="Calibri" w:cs="Calibri"/>
          <w:bCs/>
          <w:color w:val="000000"/>
          <w:sz w:val="22"/>
          <w:szCs w:val="22"/>
        </w:rPr>
        <w:t xml:space="preserve">in prescription since it came to market in 2012. As far as the comorbidities, we could not identify any major differences between the cohorts using Manhattan plots. We plan to explore the comorbidities further within the Optum cohort and as we get more data from other sources. Until more data is </w:t>
      </w:r>
      <w:r w:rsidR="0072231B">
        <w:rPr>
          <w:rFonts w:ascii="Calibri" w:eastAsia="Calibri" w:hAnsi="Calibri" w:cs="Calibri"/>
          <w:bCs/>
          <w:color w:val="000000"/>
          <w:sz w:val="22"/>
          <w:szCs w:val="22"/>
        </w:rPr>
        <w:t>generated,</w:t>
      </w:r>
      <w:r w:rsidR="00FD40C2">
        <w:rPr>
          <w:rFonts w:ascii="Calibri" w:eastAsia="Calibri" w:hAnsi="Calibri" w:cs="Calibri"/>
          <w:bCs/>
          <w:color w:val="000000"/>
          <w:sz w:val="22"/>
          <w:szCs w:val="22"/>
        </w:rPr>
        <w:t xml:space="preserve"> we </w:t>
      </w:r>
      <w:r w:rsidR="0072231B">
        <w:rPr>
          <w:rFonts w:ascii="Calibri" w:eastAsia="Calibri" w:hAnsi="Calibri" w:cs="Calibri"/>
          <w:bCs/>
          <w:color w:val="000000"/>
          <w:sz w:val="22"/>
          <w:szCs w:val="22"/>
        </w:rPr>
        <w:t>cannot</w:t>
      </w:r>
      <w:r w:rsidR="00FD40C2">
        <w:rPr>
          <w:rFonts w:ascii="Calibri" w:eastAsia="Calibri" w:hAnsi="Calibri" w:cs="Calibri"/>
          <w:bCs/>
          <w:color w:val="000000"/>
          <w:sz w:val="22"/>
          <w:szCs w:val="22"/>
        </w:rPr>
        <w:t xml:space="preserve"> make any major conclusions but expect to provide findings as more evidence is generated. </w:t>
      </w:r>
    </w:p>
    <w:p w14:paraId="7F838AF2" w14:textId="7B82E55F" w:rsidR="00EE1539" w:rsidRDefault="00EE1539">
      <w:pPr>
        <w:pBdr>
          <w:top w:val="nil"/>
          <w:left w:val="nil"/>
          <w:bottom w:val="nil"/>
          <w:right w:val="nil"/>
          <w:between w:val="nil"/>
        </w:pBdr>
        <w:spacing w:after="120"/>
        <w:jc w:val="both"/>
        <w:rPr>
          <w:rFonts w:ascii="Calibri" w:eastAsia="Calibri" w:hAnsi="Calibri" w:cs="Calibri"/>
          <w:color w:val="000000"/>
          <w:sz w:val="22"/>
          <w:szCs w:val="22"/>
        </w:rPr>
      </w:pPr>
    </w:p>
    <w:p w14:paraId="67A656EF" w14:textId="77777777" w:rsidR="008C0331" w:rsidRDefault="008C0331">
      <w:pPr>
        <w:pBdr>
          <w:top w:val="nil"/>
          <w:left w:val="nil"/>
          <w:bottom w:val="nil"/>
          <w:right w:val="nil"/>
          <w:between w:val="nil"/>
        </w:pBdr>
        <w:spacing w:after="120"/>
        <w:jc w:val="both"/>
        <w:rPr>
          <w:rFonts w:ascii="Calibri" w:eastAsia="Calibri" w:hAnsi="Calibri" w:cs="Calibri"/>
          <w:color w:val="000000"/>
          <w:sz w:val="22"/>
          <w:szCs w:val="22"/>
        </w:rPr>
      </w:pPr>
    </w:p>
    <w:p w14:paraId="3B538E31" w14:textId="77777777" w:rsidR="00EE1539" w:rsidRDefault="00EE1539" w:rsidP="00EE1539">
      <w:pPr>
        <w:keepNext/>
        <w:pBdr>
          <w:top w:val="nil"/>
          <w:left w:val="nil"/>
          <w:bottom w:val="nil"/>
          <w:right w:val="nil"/>
          <w:between w:val="nil"/>
        </w:pBdr>
        <w:spacing w:before="120" w:after="120"/>
        <w:jc w:val="center"/>
        <w:rPr>
          <w:rFonts w:ascii="Calibri" w:eastAsia="Calibri" w:hAnsi="Calibri" w:cs="Calibri"/>
          <w:b/>
          <w:color w:val="000000"/>
          <w:sz w:val="22"/>
          <w:szCs w:val="22"/>
        </w:rPr>
      </w:pPr>
      <w:r>
        <w:rPr>
          <w:rFonts w:ascii="Calibri" w:eastAsia="Calibri" w:hAnsi="Calibri" w:cs="Calibri"/>
          <w:b/>
          <w:color w:val="000000"/>
          <w:sz w:val="22"/>
          <w:szCs w:val="22"/>
        </w:rPr>
        <w:t>References</w:t>
      </w:r>
      <w:r>
        <w:rPr>
          <w:rFonts w:ascii="Calibri" w:eastAsia="Calibri" w:hAnsi="Calibri" w:cs="Calibri"/>
          <w:b/>
          <w:sz w:val="22"/>
          <w:szCs w:val="22"/>
        </w:rPr>
        <w:t>/Citations</w:t>
      </w:r>
    </w:p>
    <w:p w14:paraId="0F82B7AF" w14:textId="77777777" w:rsidR="00EE1539" w:rsidRPr="00876E84" w:rsidRDefault="00EE1539" w:rsidP="00EE1539">
      <w:pPr>
        <w:pStyle w:val="Bibliography"/>
        <w:rPr>
          <w:rFonts w:ascii="Calibri" w:hAnsi="Calibri" w:cs="Calibri"/>
          <w:sz w:val="22"/>
        </w:rPr>
      </w:pPr>
      <w:r>
        <w:rPr>
          <w:rFonts w:ascii="Calibri" w:eastAsia="Calibri" w:hAnsi="Calibri" w:cs="Calibri"/>
          <w:sz w:val="22"/>
          <w:szCs w:val="22"/>
        </w:rPr>
        <w:fldChar w:fldCharType="begin"/>
      </w:r>
      <w:r>
        <w:rPr>
          <w:rFonts w:ascii="Calibri" w:eastAsia="Calibri" w:hAnsi="Calibri" w:cs="Calibri"/>
          <w:sz w:val="22"/>
          <w:szCs w:val="22"/>
        </w:rPr>
        <w:instrText xml:space="preserve"> ADDIN ZOTERO_BIBL {"uncited":[],"omitted":[],"custom":[]} CSL_BIBLIOGRAPHY </w:instrText>
      </w:r>
      <w:r>
        <w:rPr>
          <w:rFonts w:ascii="Calibri" w:eastAsia="Calibri" w:hAnsi="Calibri" w:cs="Calibri"/>
          <w:sz w:val="22"/>
          <w:szCs w:val="22"/>
        </w:rPr>
        <w:fldChar w:fldCharType="separate"/>
      </w:r>
      <w:r w:rsidRPr="00876E84">
        <w:rPr>
          <w:rFonts w:ascii="Calibri" w:hAnsi="Calibri" w:cs="Calibri"/>
          <w:sz w:val="22"/>
        </w:rPr>
        <w:t xml:space="preserve">1. </w:t>
      </w:r>
      <w:r w:rsidRPr="00876E84">
        <w:rPr>
          <w:rFonts w:ascii="Calibri" w:hAnsi="Calibri" w:cs="Calibri"/>
          <w:sz w:val="22"/>
        </w:rPr>
        <w:tab/>
        <w:t xml:space="preserve">Davies MJ, D’Alessio DA, Fradkin J, Kernan WN, Mathieu C, Mingrone G, et al. Management of hyperglycemia in type 2 diabetes, 2018. A consensus report by the American Diabetes Association (ADA) and the European Association for the Study of Diabetes (EASD). Diabetes Care. 2018;41(12):2669–701. </w:t>
      </w:r>
    </w:p>
    <w:p w14:paraId="24CD6BCC" w14:textId="77777777" w:rsidR="00EE1539" w:rsidRPr="00876E84" w:rsidRDefault="00EE1539" w:rsidP="00EE1539">
      <w:pPr>
        <w:pStyle w:val="Bibliography"/>
        <w:rPr>
          <w:rFonts w:ascii="Calibri" w:hAnsi="Calibri" w:cs="Calibri"/>
          <w:sz w:val="22"/>
        </w:rPr>
      </w:pPr>
      <w:r w:rsidRPr="00876E84">
        <w:rPr>
          <w:rFonts w:ascii="Calibri" w:hAnsi="Calibri" w:cs="Calibri"/>
          <w:sz w:val="22"/>
        </w:rPr>
        <w:t xml:space="preserve">2. </w:t>
      </w:r>
      <w:r w:rsidRPr="00876E84">
        <w:rPr>
          <w:rFonts w:ascii="Calibri" w:hAnsi="Calibri" w:cs="Calibri"/>
          <w:sz w:val="22"/>
        </w:rPr>
        <w:tab/>
        <w:t xml:space="preserve">Young MA, Wald JA, Matthews JE, Yang F, Reinhardt RR. Effect of renal impairment on the pharmacokinetics, efficacy, and safety of albiglutide. Postgrad Med. 2014;126(3):35–46. </w:t>
      </w:r>
    </w:p>
    <w:p w14:paraId="77AD45ED" w14:textId="77777777" w:rsidR="00EE1539" w:rsidRPr="00876E84" w:rsidRDefault="00EE1539" w:rsidP="00EE1539">
      <w:pPr>
        <w:pStyle w:val="Bibliography"/>
        <w:rPr>
          <w:rFonts w:ascii="Calibri" w:hAnsi="Calibri" w:cs="Calibri"/>
          <w:sz w:val="22"/>
        </w:rPr>
      </w:pPr>
      <w:r w:rsidRPr="00876E84">
        <w:rPr>
          <w:rFonts w:ascii="Calibri" w:hAnsi="Calibri" w:cs="Calibri"/>
          <w:sz w:val="22"/>
        </w:rPr>
        <w:t xml:space="preserve">3. </w:t>
      </w:r>
      <w:r w:rsidRPr="00876E84">
        <w:rPr>
          <w:rFonts w:ascii="Calibri" w:hAnsi="Calibri" w:cs="Calibri"/>
          <w:sz w:val="22"/>
        </w:rPr>
        <w:tab/>
        <w:t xml:space="preserve">Neumiller JJ, Alicic RZ, Tuttle KR. Therapeutic considerations for antihyperglycemic agents in diabetic kidney disease. J Am Soc Nephrol. 2017;28(8):2263–74. </w:t>
      </w:r>
    </w:p>
    <w:p w14:paraId="4D60869D" w14:textId="77777777" w:rsidR="00EE1539" w:rsidRPr="00876E84" w:rsidRDefault="00EE1539" w:rsidP="00EE1539">
      <w:pPr>
        <w:pStyle w:val="Bibliography"/>
        <w:rPr>
          <w:rFonts w:ascii="Calibri" w:hAnsi="Calibri" w:cs="Calibri"/>
          <w:sz w:val="22"/>
        </w:rPr>
      </w:pPr>
      <w:r w:rsidRPr="00876E84">
        <w:rPr>
          <w:rFonts w:ascii="Calibri" w:hAnsi="Calibri" w:cs="Calibri"/>
          <w:sz w:val="22"/>
        </w:rPr>
        <w:t xml:space="preserve">4. </w:t>
      </w:r>
      <w:r w:rsidRPr="00876E84">
        <w:rPr>
          <w:rFonts w:ascii="Calibri" w:hAnsi="Calibri" w:cs="Calibri"/>
          <w:sz w:val="22"/>
        </w:rPr>
        <w:tab/>
        <w:t xml:space="preserve">Neuen BL, Young T, Heerspink HJ, Neal B, Perkovic V, Billot L, et al. SGLT2 inhibitors for the prevention of kidney failure in patients with type 2 diabetes: a systematic review and meta-analysis. Lancet Diabetes Endocrinol. 2019;7(11):845–54. </w:t>
      </w:r>
    </w:p>
    <w:p w14:paraId="0B191612" w14:textId="77777777" w:rsidR="00EE1539" w:rsidRPr="00FC0142" w:rsidRDefault="00EE1539" w:rsidP="00EE1539">
      <w:pPr>
        <w:pStyle w:val="Bibliography"/>
        <w:rPr>
          <w:rFonts w:ascii="Calibri" w:hAnsi="Calibri" w:cs="Calibri"/>
          <w:sz w:val="22"/>
          <w:lang w:val="es-ES_tradnl"/>
        </w:rPr>
      </w:pPr>
      <w:r w:rsidRPr="00876E84">
        <w:rPr>
          <w:rFonts w:ascii="Calibri" w:hAnsi="Calibri" w:cs="Calibri"/>
          <w:sz w:val="22"/>
        </w:rPr>
        <w:t xml:space="preserve">5. </w:t>
      </w:r>
      <w:r w:rsidRPr="00876E84">
        <w:rPr>
          <w:rFonts w:ascii="Calibri" w:hAnsi="Calibri" w:cs="Calibri"/>
          <w:sz w:val="22"/>
        </w:rPr>
        <w:tab/>
        <w:t xml:space="preserve">Dalui SK, Chakraverty R, Yasmin N, Pattanaik S, Pandit K, Chatterjee S. Effects of DPP4 Inhibitors on Renal Outcomes in Diabetes Mellitus: A Systematic Review and Meta-Analysis. </w:t>
      </w:r>
      <w:r w:rsidRPr="00FC0142">
        <w:rPr>
          <w:rFonts w:ascii="Calibri" w:hAnsi="Calibri" w:cs="Calibri"/>
          <w:sz w:val="22"/>
          <w:lang w:val="es-ES_tradnl"/>
        </w:rPr>
        <w:t xml:space="preserve">Indian J Endocrinol Metab. 2021;25(4):283–92. </w:t>
      </w:r>
    </w:p>
    <w:p w14:paraId="5C706CA1" w14:textId="77777777" w:rsidR="00EE1539" w:rsidRPr="00876E84" w:rsidRDefault="00EE1539" w:rsidP="00EE1539">
      <w:pPr>
        <w:pStyle w:val="Bibliography"/>
        <w:rPr>
          <w:rFonts w:ascii="Calibri" w:hAnsi="Calibri" w:cs="Calibri"/>
          <w:sz w:val="22"/>
        </w:rPr>
      </w:pPr>
      <w:r w:rsidRPr="00FC0142">
        <w:rPr>
          <w:rFonts w:ascii="Calibri" w:hAnsi="Calibri" w:cs="Calibri"/>
          <w:sz w:val="22"/>
          <w:lang w:val="es-ES_tradnl"/>
        </w:rPr>
        <w:lastRenderedPageBreak/>
        <w:t xml:space="preserve">6. </w:t>
      </w:r>
      <w:r w:rsidRPr="00FC0142">
        <w:rPr>
          <w:rFonts w:ascii="Calibri" w:hAnsi="Calibri" w:cs="Calibri"/>
          <w:sz w:val="22"/>
          <w:lang w:val="es-ES_tradnl"/>
        </w:rPr>
        <w:tab/>
        <w:t xml:space="preserve">Górriz JL, Soler MJ, Navarro-González JF, García-Carro C, Puchades MJ, D’Marco L, et al. </w:t>
      </w:r>
      <w:r w:rsidRPr="00876E84">
        <w:rPr>
          <w:rFonts w:ascii="Calibri" w:hAnsi="Calibri" w:cs="Calibri"/>
          <w:sz w:val="22"/>
        </w:rPr>
        <w:t xml:space="preserve">GLP-1 receptor agonists and diabetic kidney disease: a call of attention to nephrologists. J Clin Med. 2020;9(4):947. </w:t>
      </w:r>
    </w:p>
    <w:p w14:paraId="60045040" w14:textId="77777777" w:rsidR="00EE1539" w:rsidRPr="00876E84" w:rsidRDefault="00EE1539" w:rsidP="00EE1539">
      <w:pPr>
        <w:pStyle w:val="Bibliography"/>
        <w:rPr>
          <w:rFonts w:ascii="Calibri" w:hAnsi="Calibri" w:cs="Calibri"/>
          <w:sz w:val="22"/>
        </w:rPr>
      </w:pPr>
      <w:r w:rsidRPr="00876E84">
        <w:rPr>
          <w:rFonts w:ascii="Calibri" w:hAnsi="Calibri" w:cs="Calibri"/>
          <w:sz w:val="22"/>
        </w:rPr>
        <w:t xml:space="preserve">7. </w:t>
      </w:r>
      <w:r w:rsidRPr="00876E84">
        <w:rPr>
          <w:rFonts w:ascii="Calibri" w:hAnsi="Calibri" w:cs="Calibri"/>
          <w:sz w:val="22"/>
        </w:rPr>
        <w:tab/>
        <w:t xml:space="preserve">Lee KA, Jin HY, Kim YJ, Im YJ, Kim EY, Park TS. Treatment Patterns of Type 2 Diabetes Assessed Using a Common Data Model Based on Electronic Health Records of 2000–2019. J Korean Med Sci. 2021;36(36):e230–e230. </w:t>
      </w:r>
    </w:p>
    <w:p w14:paraId="20879971" w14:textId="77777777" w:rsidR="00EE1539" w:rsidRPr="00876E84" w:rsidRDefault="00EE1539" w:rsidP="00EE1539">
      <w:pPr>
        <w:pStyle w:val="Bibliography"/>
        <w:rPr>
          <w:rFonts w:ascii="Calibri" w:hAnsi="Calibri" w:cs="Calibri"/>
          <w:sz w:val="22"/>
        </w:rPr>
      </w:pPr>
      <w:r w:rsidRPr="00876E84">
        <w:rPr>
          <w:rFonts w:ascii="Calibri" w:hAnsi="Calibri" w:cs="Calibri"/>
          <w:sz w:val="22"/>
        </w:rPr>
        <w:t xml:space="preserve">8. </w:t>
      </w:r>
      <w:r w:rsidRPr="00876E84">
        <w:rPr>
          <w:rFonts w:ascii="Calibri" w:hAnsi="Calibri" w:cs="Calibri"/>
          <w:sz w:val="22"/>
        </w:rPr>
        <w:tab/>
        <w:t xml:space="preserve">Bang C, Mortensen MB, Lauridsen KG, Bruun JM. Trends in antidiabetic drug utilization and expenditure in Denmark: A 22‐year nationwide study. Diabetes Obes Metab. 2020;22(2):167–72. </w:t>
      </w:r>
    </w:p>
    <w:p w14:paraId="556C6B0C" w14:textId="0D165700" w:rsidR="00EE1539" w:rsidRDefault="00EE1539" w:rsidP="00EE1539">
      <w:pPr>
        <w:pBdr>
          <w:top w:val="nil"/>
          <w:left w:val="nil"/>
          <w:bottom w:val="nil"/>
          <w:right w:val="nil"/>
          <w:between w:val="nil"/>
        </w:pBdr>
        <w:spacing w:after="120"/>
        <w:jc w:val="both"/>
        <w:rPr>
          <w:rFonts w:ascii="Calibri" w:eastAsia="Calibri" w:hAnsi="Calibri" w:cs="Calibri"/>
          <w:color w:val="000000"/>
          <w:sz w:val="22"/>
          <w:szCs w:val="22"/>
        </w:rPr>
      </w:pPr>
      <w:r>
        <w:rPr>
          <w:rFonts w:ascii="Calibri" w:eastAsia="Calibri" w:hAnsi="Calibri" w:cs="Calibri"/>
          <w:sz w:val="22"/>
          <w:szCs w:val="22"/>
        </w:rPr>
        <w:fldChar w:fldCharType="end"/>
      </w:r>
    </w:p>
    <w:p w14:paraId="0830E85A" w14:textId="74765E65" w:rsidR="007869B9" w:rsidRDefault="007869B9" w:rsidP="00EE1539">
      <w:pPr>
        <w:rPr>
          <w:rFonts w:ascii="Calibri" w:eastAsia="Calibri" w:hAnsi="Calibri" w:cs="Calibri"/>
          <w:color w:val="000000"/>
          <w:sz w:val="22"/>
          <w:szCs w:val="22"/>
        </w:rPr>
      </w:pPr>
      <w:r>
        <w:rPr>
          <w:rFonts w:ascii="Calibri" w:eastAsia="Calibri" w:hAnsi="Calibri" w:cs="Calibri"/>
          <w:color w:val="000000"/>
          <w:sz w:val="22"/>
          <w:szCs w:val="22"/>
        </w:rPr>
        <w:br w:type="page"/>
      </w:r>
    </w:p>
    <w:p w14:paraId="0D4867AA" w14:textId="49184427" w:rsidR="00C75056" w:rsidRPr="00C75056" w:rsidRDefault="00C75056" w:rsidP="00C75056">
      <w:pPr>
        <w:pBdr>
          <w:top w:val="nil"/>
          <w:left w:val="nil"/>
          <w:bottom w:val="nil"/>
          <w:right w:val="nil"/>
          <w:between w:val="nil"/>
        </w:pBdr>
        <w:jc w:val="both"/>
        <w:rPr>
          <w:rFonts w:ascii="Calibri" w:eastAsia="Calibri" w:hAnsi="Calibri" w:cs="Calibri"/>
          <w:b/>
          <w:bCs/>
          <w:sz w:val="22"/>
          <w:szCs w:val="22"/>
        </w:rPr>
      </w:pPr>
      <w:r>
        <w:rPr>
          <w:rFonts w:ascii="Calibri" w:eastAsia="Calibri" w:hAnsi="Calibri" w:cs="Calibri"/>
          <w:b/>
          <w:bCs/>
          <w:sz w:val="22"/>
          <w:szCs w:val="22"/>
        </w:rPr>
        <w:lastRenderedPageBreak/>
        <w:t>Tables and Figures</w:t>
      </w:r>
    </w:p>
    <w:p w14:paraId="488FAE1A" w14:textId="77777777" w:rsidR="00EE1539" w:rsidRDefault="00EE1539" w:rsidP="007869B9">
      <w:pPr>
        <w:pStyle w:val="Caption"/>
        <w:keepNext/>
      </w:pPr>
    </w:p>
    <w:p w14:paraId="7BAA8608" w14:textId="3374B57A" w:rsidR="007869B9" w:rsidRDefault="007869B9" w:rsidP="007869B9">
      <w:pPr>
        <w:pStyle w:val="Caption"/>
        <w:keepNext/>
      </w:pPr>
      <w:r>
        <w:t xml:space="preserve">Table </w:t>
      </w:r>
      <w:fldSimple w:instr=" SEQ Table \* ARABIC ">
        <w:r>
          <w:rPr>
            <w:noProof/>
          </w:rPr>
          <w:t>1</w:t>
        </w:r>
      </w:fldSimple>
      <w:r>
        <w:t>: Summary of Demographics</w:t>
      </w:r>
      <w:r w:rsidR="00845930">
        <w:t xml:space="preserve"> for Optum </w:t>
      </w:r>
    </w:p>
    <w:tbl>
      <w:tblPr>
        <w:tblW w:w="8640" w:type="dxa"/>
        <w:jc w:val="center"/>
        <w:tblLayout w:type="fixed"/>
        <w:tblLook w:val="0420" w:firstRow="1" w:lastRow="0" w:firstColumn="0" w:lastColumn="0" w:noHBand="0" w:noVBand="1"/>
      </w:tblPr>
      <w:tblGrid>
        <w:gridCol w:w="1080"/>
        <w:gridCol w:w="954"/>
        <w:gridCol w:w="990"/>
        <w:gridCol w:w="990"/>
        <w:gridCol w:w="1080"/>
        <w:gridCol w:w="1170"/>
        <w:gridCol w:w="1080"/>
        <w:gridCol w:w="1296"/>
      </w:tblGrid>
      <w:tr w:rsidR="007869B9" w:rsidRPr="007869B9" w14:paraId="55A9454C" w14:textId="77777777" w:rsidTr="00B85982">
        <w:trPr>
          <w:cantSplit/>
          <w:tblHeader/>
          <w:jc w:val="center"/>
        </w:trPr>
        <w:tc>
          <w:tcPr>
            <w:tcW w:w="1080" w:type="dxa"/>
            <w:tcBorders>
              <w:top w:val="single" w:sz="16" w:space="0" w:color="666666"/>
              <w:left w:val="none" w:sz="0" w:space="0" w:color="000000"/>
              <w:bottom w:val="single" w:sz="16" w:space="0" w:color="666666"/>
              <w:right w:val="none" w:sz="0" w:space="0" w:color="000000"/>
            </w:tcBorders>
            <w:shd w:val="clear" w:color="auto" w:fill="FFFFFF"/>
            <w:vAlign w:val="center"/>
          </w:tcPr>
          <w:p w14:paraId="628D2BEA" w14:textId="77777777" w:rsidR="007869B9" w:rsidRPr="007869B9" w:rsidRDefault="007869B9" w:rsidP="007869B9">
            <w:pPr>
              <w:keepNext/>
              <w:widowControl/>
              <w:pBdr>
                <w:top w:val="none" w:sz="0" w:space="0" w:color="000000"/>
                <w:left w:val="none" w:sz="0" w:space="0" w:color="000000"/>
                <w:bottom w:val="none" w:sz="0" w:space="0" w:color="000000"/>
                <w:right w:val="none" w:sz="0" w:space="0" w:color="000000"/>
              </w:pBdr>
              <w:spacing w:before="100" w:after="100"/>
              <w:ind w:left="100" w:right="100"/>
              <w:rPr>
                <w:rFonts w:ascii="Calibri" w:eastAsia="MS Mincho" w:hAnsi="Calibri" w:cs="Calibri"/>
                <w:color w:val="000000"/>
              </w:rPr>
            </w:pPr>
          </w:p>
        </w:tc>
        <w:tc>
          <w:tcPr>
            <w:tcW w:w="954" w:type="dxa"/>
            <w:tcBorders>
              <w:top w:val="single" w:sz="16"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5CDAA7F7" w14:textId="77777777" w:rsidR="007869B9" w:rsidRPr="007869B9" w:rsidRDefault="007869B9" w:rsidP="007869B9">
            <w:pPr>
              <w:keepNext/>
              <w:widowControl/>
              <w:pBdr>
                <w:top w:val="none" w:sz="0" w:space="0" w:color="000000"/>
                <w:left w:val="none" w:sz="0" w:space="0" w:color="000000"/>
                <w:bottom w:val="none" w:sz="0" w:space="0" w:color="000000"/>
                <w:right w:val="none" w:sz="0" w:space="0" w:color="000000"/>
              </w:pBdr>
              <w:spacing w:before="100" w:after="100"/>
              <w:ind w:left="100" w:right="100"/>
              <w:rPr>
                <w:rFonts w:ascii="Calibri" w:eastAsia="MS Mincho" w:hAnsi="Calibri" w:cs="Calibri"/>
              </w:rPr>
            </w:pPr>
          </w:p>
        </w:tc>
        <w:tc>
          <w:tcPr>
            <w:tcW w:w="6606" w:type="dxa"/>
            <w:gridSpan w:val="6"/>
            <w:tcBorders>
              <w:top w:val="single" w:sz="16" w:space="0" w:color="666666"/>
              <w:left w:val="none" w:sz="0" w:space="0" w:color="000000"/>
              <w:bottom w:val="single" w:sz="16" w:space="0" w:color="666666"/>
            </w:tcBorders>
            <w:shd w:val="clear" w:color="auto" w:fill="FFFFFF"/>
            <w:tcMar>
              <w:top w:w="0" w:type="dxa"/>
              <w:left w:w="0" w:type="dxa"/>
              <w:bottom w:w="0" w:type="dxa"/>
              <w:right w:w="0" w:type="dxa"/>
            </w:tcMar>
            <w:vAlign w:val="center"/>
          </w:tcPr>
          <w:p w14:paraId="4B6AA784" w14:textId="77777777" w:rsidR="007869B9" w:rsidRPr="007869B9" w:rsidRDefault="007869B9" w:rsidP="007869B9">
            <w:pPr>
              <w:keepNext/>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Calibri" w:eastAsia="MS Mincho" w:hAnsi="Calibri" w:cs="Calibri"/>
              </w:rPr>
            </w:pPr>
            <w:r w:rsidRPr="007869B9">
              <w:rPr>
                <w:rFonts w:ascii="Calibri" w:eastAsia="MS Mincho" w:hAnsi="Calibri" w:cs="Calibri"/>
              </w:rPr>
              <w:t>Percent (%)</w:t>
            </w:r>
          </w:p>
        </w:tc>
      </w:tr>
      <w:tr w:rsidR="007869B9" w:rsidRPr="007869B9" w14:paraId="0BC4E626" w14:textId="77777777" w:rsidTr="00B85982">
        <w:trPr>
          <w:cantSplit/>
          <w:tblHeader/>
          <w:jc w:val="center"/>
        </w:trPr>
        <w:tc>
          <w:tcPr>
            <w:tcW w:w="1080" w:type="dxa"/>
            <w:tcBorders>
              <w:top w:val="single" w:sz="16" w:space="0" w:color="666666"/>
              <w:left w:val="none" w:sz="0" w:space="0" w:color="000000"/>
              <w:bottom w:val="single" w:sz="16" w:space="0" w:color="666666"/>
              <w:right w:val="none" w:sz="0" w:space="0" w:color="000000"/>
            </w:tcBorders>
            <w:shd w:val="clear" w:color="auto" w:fill="FFFFFF"/>
            <w:vAlign w:val="center"/>
          </w:tcPr>
          <w:p w14:paraId="59D46659" w14:textId="77777777" w:rsidR="007869B9" w:rsidRPr="007869B9" w:rsidRDefault="007869B9" w:rsidP="007869B9">
            <w:pPr>
              <w:keepNext/>
              <w:widowControl/>
              <w:pBdr>
                <w:top w:val="none" w:sz="0" w:space="0" w:color="000000"/>
                <w:left w:val="none" w:sz="0" w:space="0" w:color="000000"/>
                <w:bottom w:val="none" w:sz="0" w:space="0" w:color="000000"/>
                <w:right w:val="none" w:sz="0" w:space="0" w:color="000000"/>
              </w:pBdr>
              <w:spacing w:before="100" w:after="100"/>
              <w:ind w:left="100" w:right="100"/>
              <w:jc w:val="right"/>
              <w:rPr>
                <w:rFonts w:ascii="Calibri" w:eastAsia="MS Mincho" w:hAnsi="Calibri" w:cs="Calibri"/>
                <w:color w:val="000000"/>
              </w:rPr>
            </w:pPr>
            <w:r w:rsidRPr="007869B9">
              <w:rPr>
                <w:rFonts w:ascii="Calibri" w:eastAsia="MS Mincho" w:hAnsi="Calibri" w:cs="Calibri"/>
                <w:color w:val="000000"/>
              </w:rPr>
              <w:t>Group</w:t>
            </w:r>
          </w:p>
        </w:tc>
        <w:tc>
          <w:tcPr>
            <w:tcW w:w="954" w:type="dxa"/>
            <w:tcBorders>
              <w:top w:val="single" w:sz="16"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44675A32" w14:textId="77777777" w:rsidR="007869B9" w:rsidRPr="007869B9" w:rsidRDefault="007869B9" w:rsidP="007869B9">
            <w:pPr>
              <w:keepNext/>
              <w:widowControl/>
              <w:pBdr>
                <w:top w:val="none" w:sz="0" w:space="0" w:color="000000"/>
                <w:left w:val="none" w:sz="0" w:space="0" w:color="000000"/>
                <w:bottom w:val="none" w:sz="0" w:space="0" w:color="000000"/>
                <w:right w:val="none" w:sz="0" w:space="0" w:color="000000"/>
              </w:pBdr>
              <w:spacing w:before="100" w:after="100"/>
              <w:ind w:left="100" w:right="100"/>
              <w:jc w:val="right"/>
              <w:rPr>
                <w:rFonts w:ascii="Calibri" w:eastAsia="MS Mincho" w:hAnsi="Calibri" w:cs="Calibri"/>
                <w:color w:val="000000"/>
              </w:rPr>
            </w:pPr>
            <w:r w:rsidRPr="007869B9">
              <w:rPr>
                <w:rFonts w:ascii="Calibri" w:eastAsia="MS Mincho" w:hAnsi="Calibri" w:cs="Calibri"/>
                <w:color w:val="000000"/>
              </w:rPr>
              <w:t>Name</w:t>
            </w:r>
          </w:p>
        </w:tc>
        <w:tc>
          <w:tcPr>
            <w:tcW w:w="990" w:type="dxa"/>
            <w:tcBorders>
              <w:top w:val="single" w:sz="16"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4BFBFF4A" w14:textId="77777777" w:rsidR="007869B9" w:rsidRPr="007869B9" w:rsidRDefault="007869B9" w:rsidP="007869B9">
            <w:pPr>
              <w:keepNext/>
              <w:widowControl/>
              <w:pBdr>
                <w:top w:val="none" w:sz="0" w:space="0" w:color="000000"/>
                <w:left w:val="none" w:sz="0" w:space="0" w:color="000000"/>
                <w:bottom w:val="none" w:sz="0" w:space="0" w:color="000000"/>
                <w:right w:val="none" w:sz="0" w:space="0" w:color="000000"/>
              </w:pBdr>
              <w:spacing w:before="100" w:after="100"/>
              <w:ind w:left="100" w:right="100"/>
              <w:jc w:val="right"/>
              <w:rPr>
                <w:rFonts w:ascii="Calibri" w:eastAsia="MS Mincho" w:hAnsi="Calibri" w:cs="Calibri"/>
                <w:color w:val="000000"/>
              </w:rPr>
            </w:pPr>
            <w:r w:rsidRPr="007869B9">
              <w:rPr>
                <w:rFonts w:ascii="Calibri" w:eastAsia="MS Mincho" w:hAnsi="Calibri" w:cs="Calibri"/>
                <w:color w:val="000000"/>
              </w:rPr>
              <w:t>ddp4</w:t>
            </w:r>
          </w:p>
        </w:tc>
        <w:tc>
          <w:tcPr>
            <w:tcW w:w="990" w:type="dxa"/>
            <w:tcBorders>
              <w:top w:val="single" w:sz="16"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1D7D8C88" w14:textId="77777777" w:rsidR="007869B9" w:rsidRPr="007869B9" w:rsidRDefault="007869B9" w:rsidP="007869B9">
            <w:pPr>
              <w:keepNext/>
              <w:widowControl/>
              <w:pBdr>
                <w:top w:val="none" w:sz="0" w:space="0" w:color="000000"/>
                <w:left w:val="none" w:sz="0" w:space="0" w:color="000000"/>
                <w:bottom w:val="none" w:sz="0" w:space="0" w:color="000000"/>
                <w:right w:val="none" w:sz="0" w:space="0" w:color="000000"/>
              </w:pBdr>
              <w:spacing w:before="100" w:after="100"/>
              <w:ind w:left="100" w:right="100"/>
              <w:jc w:val="right"/>
              <w:rPr>
                <w:rFonts w:ascii="Calibri" w:eastAsia="MS Mincho" w:hAnsi="Calibri" w:cs="Calibri"/>
                <w:color w:val="000000"/>
              </w:rPr>
            </w:pPr>
            <w:r w:rsidRPr="007869B9">
              <w:rPr>
                <w:rFonts w:ascii="Calibri" w:eastAsia="MS Mincho" w:hAnsi="Calibri" w:cs="Calibri"/>
                <w:color w:val="000000"/>
              </w:rPr>
              <w:t>glp1</w:t>
            </w:r>
          </w:p>
        </w:tc>
        <w:tc>
          <w:tcPr>
            <w:tcW w:w="1080" w:type="dxa"/>
            <w:tcBorders>
              <w:top w:val="single" w:sz="16"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7484FE4B" w14:textId="77777777" w:rsidR="007869B9" w:rsidRPr="007869B9" w:rsidRDefault="007869B9" w:rsidP="007869B9">
            <w:pPr>
              <w:keepNext/>
              <w:widowControl/>
              <w:pBdr>
                <w:top w:val="none" w:sz="0" w:space="0" w:color="000000"/>
                <w:left w:val="none" w:sz="0" w:space="0" w:color="000000"/>
                <w:bottom w:val="none" w:sz="0" w:space="0" w:color="000000"/>
                <w:right w:val="none" w:sz="0" w:space="0" w:color="000000"/>
              </w:pBdr>
              <w:spacing w:before="100" w:after="100"/>
              <w:ind w:left="100" w:right="100"/>
              <w:jc w:val="right"/>
              <w:rPr>
                <w:rFonts w:ascii="Calibri" w:eastAsia="MS Mincho" w:hAnsi="Calibri" w:cs="Calibri"/>
                <w:color w:val="000000"/>
              </w:rPr>
            </w:pPr>
            <w:r w:rsidRPr="007869B9">
              <w:rPr>
                <w:rFonts w:ascii="Calibri" w:eastAsia="MS Mincho" w:hAnsi="Calibri" w:cs="Calibri"/>
                <w:color w:val="000000"/>
              </w:rPr>
              <w:t>insulin</w:t>
            </w:r>
          </w:p>
        </w:tc>
        <w:tc>
          <w:tcPr>
            <w:tcW w:w="1170" w:type="dxa"/>
            <w:tcBorders>
              <w:top w:val="single" w:sz="16"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2D1C68A0" w14:textId="77777777" w:rsidR="007869B9" w:rsidRPr="007869B9" w:rsidRDefault="007869B9" w:rsidP="007869B9">
            <w:pPr>
              <w:keepNext/>
              <w:widowControl/>
              <w:pBdr>
                <w:top w:val="none" w:sz="0" w:space="0" w:color="000000"/>
                <w:left w:val="none" w:sz="0" w:space="0" w:color="000000"/>
                <w:bottom w:val="none" w:sz="0" w:space="0" w:color="000000"/>
                <w:right w:val="none" w:sz="0" w:space="0" w:color="000000"/>
              </w:pBdr>
              <w:spacing w:before="100" w:after="100"/>
              <w:ind w:left="100" w:right="100"/>
              <w:jc w:val="right"/>
              <w:rPr>
                <w:rFonts w:ascii="Calibri" w:eastAsia="MS Mincho" w:hAnsi="Calibri" w:cs="Calibri"/>
                <w:color w:val="000000"/>
              </w:rPr>
            </w:pPr>
            <w:r w:rsidRPr="007869B9">
              <w:rPr>
                <w:rFonts w:ascii="Calibri" w:eastAsia="MS Mincho" w:hAnsi="Calibri" w:cs="Calibri"/>
                <w:color w:val="000000"/>
              </w:rPr>
              <w:t>metformin</w:t>
            </w:r>
          </w:p>
        </w:tc>
        <w:tc>
          <w:tcPr>
            <w:tcW w:w="1080" w:type="dxa"/>
            <w:tcBorders>
              <w:top w:val="single" w:sz="16"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35E692D3" w14:textId="77777777" w:rsidR="007869B9" w:rsidRPr="007869B9" w:rsidRDefault="007869B9" w:rsidP="007869B9">
            <w:pPr>
              <w:keepNext/>
              <w:widowControl/>
              <w:pBdr>
                <w:top w:val="none" w:sz="0" w:space="0" w:color="000000"/>
                <w:left w:val="none" w:sz="0" w:space="0" w:color="000000"/>
                <w:bottom w:val="none" w:sz="0" w:space="0" w:color="000000"/>
                <w:right w:val="none" w:sz="0" w:space="0" w:color="000000"/>
              </w:pBdr>
              <w:spacing w:before="100" w:after="100"/>
              <w:ind w:left="100" w:right="100"/>
              <w:jc w:val="right"/>
              <w:rPr>
                <w:rFonts w:ascii="Calibri" w:eastAsia="MS Mincho" w:hAnsi="Calibri" w:cs="Calibri"/>
                <w:color w:val="000000"/>
              </w:rPr>
            </w:pPr>
            <w:r w:rsidRPr="007869B9">
              <w:rPr>
                <w:rFonts w:ascii="Calibri" w:eastAsia="MS Mincho" w:hAnsi="Calibri" w:cs="Calibri"/>
                <w:color w:val="000000"/>
              </w:rPr>
              <w:t>SGLT2</w:t>
            </w:r>
          </w:p>
        </w:tc>
        <w:tc>
          <w:tcPr>
            <w:tcW w:w="1296" w:type="dxa"/>
            <w:tcBorders>
              <w:top w:val="single" w:sz="16" w:space="0" w:color="666666"/>
              <w:left w:val="none" w:sz="0" w:space="0" w:color="000000"/>
              <w:bottom w:val="single" w:sz="16" w:space="0" w:color="666666"/>
              <w:right w:val="none" w:sz="0" w:space="0" w:color="000000"/>
            </w:tcBorders>
            <w:shd w:val="clear" w:color="auto" w:fill="FFFFFF"/>
            <w:tcMar>
              <w:top w:w="0" w:type="dxa"/>
              <w:left w:w="0" w:type="dxa"/>
              <w:bottom w:w="0" w:type="dxa"/>
              <w:right w:w="0" w:type="dxa"/>
            </w:tcMar>
            <w:vAlign w:val="center"/>
          </w:tcPr>
          <w:p w14:paraId="699B742E" w14:textId="77777777" w:rsidR="007869B9" w:rsidRPr="007869B9" w:rsidRDefault="007869B9" w:rsidP="007869B9">
            <w:pPr>
              <w:keepNext/>
              <w:widowControl/>
              <w:pBdr>
                <w:top w:val="none" w:sz="0" w:space="0" w:color="000000"/>
                <w:left w:val="none" w:sz="0" w:space="0" w:color="000000"/>
                <w:bottom w:val="none" w:sz="0" w:space="0" w:color="000000"/>
                <w:right w:val="none" w:sz="0" w:space="0" w:color="000000"/>
              </w:pBdr>
              <w:spacing w:before="100" w:after="100"/>
              <w:ind w:left="100" w:right="100"/>
              <w:jc w:val="right"/>
              <w:rPr>
                <w:rFonts w:ascii="Calibri" w:eastAsia="MS Mincho" w:hAnsi="Calibri" w:cs="Calibri"/>
                <w:color w:val="000000"/>
              </w:rPr>
            </w:pPr>
            <w:r w:rsidRPr="007869B9">
              <w:rPr>
                <w:rFonts w:ascii="Calibri" w:eastAsia="MS Mincho" w:hAnsi="Calibri" w:cs="Calibri"/>
                <w:color w:val="000000"/>
              </w:rPr>
              <w:t>sulfonylureas</w:t>
            </w:r>
          </w:p>
        </w:tc>
      </w:tr>
      <w:tr w:rsidR="007869B9" w:rsidRPr="007869B9" w14:paraId="3703F07F" w14:textId="77777777" w:rsidTr="00B85982">
        <w:trPr>
          <w:cantSplit/>
          <w:jc w:val="center"/>
        </w:trPr>
        <w:tc>
          <w:tcPr>
            <w:tcW w:w="1080" w:type="dxa"/>
            <w:vMerge w:val="restart"/>
            <w:tcBorders>
              <w:top w:val="none" w:sz="0" w:space="0" w:color="000000"/>
              <w:left w:val="none" w:sz="0" w:space="0" w:color="000000"/>
              <w:right w:val="none" w:sz="0" w:space="0" w:color="000000"/>
            </w:tcBorders>
            <w:shd w:val="clear" w:color="auto" w:fill="FFFFFF"/>
            <w:vAlign w:val="center"/>
          </w:tcPr>
          <w:p w14:paraId="1BBE06B0" w14:textId="77777777" w:rsidR="007869B9" w:rsidRPr="007869B9" w:rsidRDefault="007869B9" w:rsidP="007869B9">
            <w:pPr>
              <w:keepNext/>
              <w:widowControl/>
              <w:pBdr>
                <w:top w:val="none" w:sz="0" w:space="0" w:color="000000"/>
                <w:left w:val="none" w:sz="0" w:space="0" w:color="000000"/>
                <w:bottom w:val="none" w:sz="0" w:space="0" w:color="000000"/>
                <w:right w:val="none" w:sz="0" w:space="0" w:color="000000"/>
              </w:pBdr>
              <w:spacing w:before="100" w:after="100"/>
              <w:ind w:left="100" w:right="100"/>
              <w:rPr>
                <w:rFonts w:ascii="Calibri" w:eastAsia="MS Mincho" w:hAnsi="Calibri" w:cs="Calibri"/>
                <w:color w:val="000000"/>
              </w:rPr>
            </w:pPr>
            <w:r w:rsidRPr="007869B9">
              <w:rPr>
                <w:rFonts w:ascii="Calibri" w:eastAsia="MS Mincho" w:hAnsi="Calibri" w:cs="Calibri"/>
                <w:color w:val="000000"/>
              </w:rPr>
              <w:t>Age Group (5 year)</w:t>
            </w:r>
          </w:p>
        </w:tc>
        <w:tc>
          <w:tcPr>
            <w:tcW w:w="9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136155"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rPr>
                <w:rFonts w:ascii="Calibri" w:eastAsia="MS Mincho" w:hAnsi="Calibri" w:cs="Calibri"/>
              </w:rPr>
            </w:pPr>
            <w:r w:rsidRPr="007869B9">
              <w:rPr>
                <w:rFonts w:ascii="Calibri" w:eastAsia="MS Mincho" w:hAnsi="Calibri" w:cs="Calibri"/>
                <w:color w:val="000000"/>
              </w:rPr>
              <w:t>35 -  39</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89DA16"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0.78</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806087"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1.16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03C90D"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0.70</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44BF6E"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0.90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70BDC9"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1.04</w:t>
            </w:r>
          </w:p>
        </w:tc>
        <w:tc>
          <w:tcPr>
            <w:tcW w:w="129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2D8995"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0.81</w:t>
            </w:r>
          </w:p>
        </w:tc>
      </w:tr>
      <w:tr w:rsidR="007869B9" w:rsidRPr="007869B9" w14:paraId="246DB40B" w14:textId="77777777" w:rsidTr="00B85982">
        <w:trPr>
          <w:cantSplit/>
          <w:jc w:val="center"/>
        </w:trPr>
        <w:tc>
          <w:tcPr>
            <w:tcW w:w="1080" w:type="dxa"/>
            <w:vMerge/>
            <w:tcBorders>
              <w:left w:val="none" w:sz="0" w:space="0" w:color="000000"/>
              <w:right w:val="none" w:sz="0" w:space="0" w:color="000000"/>
            </w:tcBorders>
            <w:shd w:val="clear" w:color="auto" w:fill="FFFFFF"/>
          </w:tcPr>
          <w:p w14:paraId="2D2E1580" w14:textId="77777777" w:rsidR="007869B9" w:rsidRPr="007869B9" w:rsidRDefault="007869B9" w:rsidP="007869B9">
            <w:pPr>
              <w:keepNext/>
              <w:widowControl/>
              <w:pBdr>
                <w:top w:val="none" w:sz="0" w:space="0" w:color="000000"/>
                <w:left w:val="none" w:sz="0" w:space="0" w:color="000000"/>
                <w:bottom w:val="none" w:sz="0" w:space="0" w:color="000000"/>
                <w:right w:val="none" w:sz="0" w:space="0" w:color="000000"/>
              </w:pBdr>
              <w:spacing w:before="100" w:after="100"/>
              <w:ind w:left="100" w:right="100"/>
              <w:rPr>
                <w:rFonts w:ascii="Calibri" w:eastAsia="MS Mincho" w:hAnsi="Calibri" w:cs="Calibri"/>
                <w:color w:val="000000"/>
              </w:rPr>
            </w:pPr>
          </w:p>
        </w:tc>
        <w:tc>
          <w:tcPr>
            <w:tcW w:w="9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FB8F6A"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rPr>
                <w:rFonts w:ascii="Calibri" w:eastAsia="MS Mincho" w:hAnsi="Calibri" w:cs="Calibri"/>
              </w:rPr>
            </w:pPr>
            <w:r w:rsidRPr="007869B9">
              <w:rPr>
                <w:rFonts w:ascii="Calibri" w:eastAsia="MS Mincho" w:hAnsi="Calibri" w:cs="Calibri"/>
                <w:color w:val="000000"/>
              </w:rPr>
              <w:t>40 -  44</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B9AD06"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1.45</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2F9F03"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2.57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F41C24"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1.50</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E87A0F"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1.76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9F30FF"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2.31</w:t>
            </w:r>
          </w:p>
        </w:tc>
        <w:tc>
          <w:tcPr>
            <w:tcW w:w="129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276C2D"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1.63</w:t>
            </w:r>
          </w:p>
        </w:tc>
      </w:tr>
      <w:tr w:rsidR="007869B9" w:rsidRPr="007869B9" w14:paraId="577CE270" w14:textId="77777777" w:rsidTr="00B85982">
        <w:trPr>
          <w:cantSplit/>
          <w:jc w:val="center"/>
        </w:trPr>
        <w:tc>
          <w:tcPr>
            <w:tcW w:w="1080" w:type="dxa"/>
            <w:vMerge/>
            <w:tcBorders>
              <w:left w:val="none" w:sz="0" w:space="0" w:color="000000"/>
              <w:right w:val="none" w:sz="0" w:space="0" w:color="000000"/>
            </w:tcBorders>
            <w:shd w:val="clear" w:color="auto" w:fill="FFFFFF"/>
          </w:tcPr>
          <w:p w14:paraId="1FA0DE98" w14:textId="77777777" w:rsidR="007869B9" w:rsidRPr="007869B9" w:rsidRDefault="007869B9" w:rsidP="007869B9">
            <w:pPr>
              <w:keepNext/>
              <w:widowControl/>
              <w:pBdr>
                <w:top w:val="none" w:sz="0" w:space="0" w:color="000000"/>
                <w:left w:val="none" w:sz="0" w:space="0" w:color="000000"/>
                <w:bottom w:val="none" w:sz="0" w:space="0" w:color="000000"/>
                <w:right w:val="none" w:sz="0" w:space="0" w:color="000000"/>
              </w:pBdr>
              <w:spacing w:before="100" w:after="100"/>
              <w:ind w:left="100" w:right="100"/>
              <w:rPr>
                <w:rFonts w:ascii="Calibri" w:eastAsia="MS Mincho" w:hAnsi="Calibri" w:cs="Calibri"/>
                <w:color w:val="000000"/>
              </w:rPr>
            </w:pPr>
          </w:p>
        </w:tc>
        <w:tc>
          <w:tcPr>
            <w:tcW w:w="9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882377"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rPr>
                <w:rFonts w:ascii="Calibri" w:eastAsia="MS Mincho" w:hAnsi="Calibri" w:cs="Calibri"/>
              </w:rPr>
            </w:pPr>
            <w:r w:rsidRPr="007869B9">
              <w:rPr>
                <w:rFonts w:ascii="Calibri" w:eastAsia="MS Mincho" w:hAnsi="Calibri" w:cs="Calibri"/>
                <w:color w:val="000000"/>
              </w:rPr>
              <w:t>45 -  49</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C5798C"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2.82</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D4F0AA"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4.62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216686"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2.75</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67086F"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3.28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BB576D"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4.31</w:t>
            </w:r>
          </w:p>
        </w:tc>
        <w:tc>
          <w:tcPr>
            <w:tcW w:w="129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15C6EA"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2.88</w:t>
            </w:r>
          </w:p>
        </w:tc>
      </w:tr>
      <w:tr w:rsidR="007869B9" w:rsidRPr="007869B9" w14:paraId="382F5BD8" w14:textId="77777777" w:rsidTr="00B85982">
        <w:trPr>
          <w:cantSplit/>
          <w:jc w:val="center"/>
        </w:trPr>
        <w:tc>
          <w:tcPr>
            <w:tcW w:w="1080" w:type="dxa"/>
            <w:vMerge/>
            <w:tcBorders>
              <w:left w:val="none" w:sz="0" w:space="0" w:color="000000"/>
              <w:right w:val="none" w:sz="0" w:space="0" w:color="000000"/>
            </w:tcBorders>
            <w:shd w:val="clear" w:color="auto" w:fill="FFFFFF"/>
          </w:tcPr>
          <w:p w14:paraId="6D07BDF3" w14:textId="77777777" w:rsidR="007869B9" w:rsidRPr="007869B9" w:rsidRDefault="007869B9" w:rsidP="007869B9">
            <w:pPr>
              <w:keepNext/>
              <w:widowControl/>
              <w:pBdr>
                <w:top w:val="none" w:sz="0" w:space="0" w:color="000000"/>
                <w:left w:val="none" w:sz="0" w:space="0" w:color="000000"/>
                <w:bottom w:val="none" w:sz="0" w:space="0" w:color="000000"/>
                <w:right w:val="none" w:sz="0" w:space="0" w:color="000000"/>
              </w:pBdr>
              <w:spacing w:before="100" w:after="100"/>
              <w:ind w:left="100" w:right="100"/>
              <w:rPr>
                <w:rFonts w:ascii="Calibri" w:eastAsia="MS Mincho" w:hAnsi="Calibri" w:cs="Calibri"/>
                <w:color w:val="000000"/>
              </w:rPr>
            </w:pPr>
          </w:p>
        </w:tc>
        <w:tc>
          <w:tcPr>
            <w:tcW w:w="9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0EF642"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rPr>
                <w:rFonts w:ascii="Calibri" w:eastAsia="MS Mincho" w:hAnsi="Calibri" w:cs="Calibri"/>
              </w:rPr>
            </w:pPr>
            <w:r w:rsidRPr="007869B9">
              <w:rPr>
                <w:rFonts w:ascii="Calibri" w:eastAsia="MS Mincho" w:hAnsi="Calibri" w:cs="Calibri"/>
                <w:color w:val="000000"/>
              </w:rPr>
              <w:t>50 -  54</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0A19DF"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4.67</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8F35F5"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7.15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15EFD1"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4.66</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9DE97C"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5.45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131B9A"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7.17</w:t>
            </w:r>
          </w:p>
        </w:tc>
        <w:tc>
          <w:tcPr>
            <w:tcW w:w="129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16CFD1"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4.71</w:t>
            </w:r>
          </w:p>
        </w:tc>
      </w:tr>
      <w:tr w:rsidR="007869B9" w:rsidRPr="007869B9" w14:paraId="1073D3D7" w14:textId="77777777" w:rsidTr="00B85982">
        <w:trPr>
          <w:cantSplit/>
          <w:jc w:val="center"/>
        </w:trPr>
        <w:tc>
          <w:tcPr>
            <w:tcW w:w="1080" w:type="dxa"/>
            <w:vMerge/>
            <w:tcBorders>
              <w:left w:val="none" w:sz="0" w:space="0" w:color="000000"/>
              <w:right w:val="none" w:sz="0" w:space="0" w:color="000000"/>
            </w:tcBorders>
            <w:shd w:val="clear" w:color="auto" w:fill="FFFFFF"/>
          </w:tcPr>
          <w:p w14:paraId="0BE33BEC" w14:textId="77777777" w:rsidR="007869B9" w:rsidRPr="007869B9" w:rsidRDefault="007869B9" w:rsidP="007869B9">
            <w:pPr>
              <w:keepNext/>
              <w:widowControl/>
              <w:pBdr>
                <w:top w:val="none" w:sz="0" w:space="0" w:color="000000"/>
                <w:left w:val="none" w:sz="0" w:space="0" w:color="000000"/>
                <w:bottom w:val="none" w:sz="0" w:space="0" w:color="000000"/>
                <w:right w:val="none" w:sz="0" w:space="0" w:color="000000"/>
              </w:pBdr>
              <w:spacing w:before="100" w:after="100"/>
              <w:ind w:left="100" w:right="100"/>
              <w:rPr>
                <w:rFonts w:ascii="Calibri" w:eastAsia="MS Mincho" w:hAnsi="Calibri" w:cs="Calibri"/>
                <w:color w:val="000000"/>
              </w:rPr>
            </w:pPr>
          </w:p>
        </w:tc>
        <w:tc>
          <w:tcPr>
            <w:tcW w:w="9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7E8708"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rPr>
                <w:rFonts w:ascii="Calibri" w:eastAsia="MS Mincho" w:hAnsi="Calibri" w:cs="Calibri"/>
              </w:rPr>
            </w:pPr>
            <w:r w:rsidRPr="007869B9">
              <w:rPr>
                <w:rFonts w:ascii="Calibri" w:eastAsia="MS Mincho" w:hAnsi="Calibri" w:cs="Calibri"/>
                <w:color w:val="000000"/>
              </w:rPr>
              <w:t>55 -  59</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0EFD85"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6.86</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20B953"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10.37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726F1B"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6.99</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1D435D"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7.77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AE177B"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10.07</w:t>
            </w:r>
          </w:p>
        </w:tc>
        <w:tc>
          <w:tcPr>
            <w:tcW w:w="129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C7BB93"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6.87</w:t>
            </w:r>
          </w:p>
        </w:tc>
      </w:tr>
      <w:tr w:rsidR="007869B9" w:rsidRPr="007869B9" w14:paraId="174BAC2A" w14:textId="77777777" w:rsidTr="00B85982">
        <w:trPr>
          <w:cantSplit/>
          <w:jc w:val="center"/>
        </w:trPr>
        <w:tc>
          <w:tcPr>
            <w:tcW w:w="1080" w:type="dxa"/>
            <w:vMerge/>
            <w:tcBorders>
              <w:left w:val="none" w:sz="0" w:space="0" w:color="000000"/>
              <w:right w:val="none" w:sz="0" w:space="0" w:color="000000"/>
            </w:tcBorders>
            <w:shd w:val="clear" w:color="auto" w:fill="FFFFFF"/>
          </w:tcPr>
          <w:p w14:paraId="4692A5FD" w14:textId="77777777" w:rsidR="007869B9" w:rsidRPr="007869B9" w:rsidRDefault="007869B9" w:rsidP="007869B9">
            <w:pPr>
              <w:keepNext/>
              <w:widowControl/>
              <w:pBdr>
                <w:top w:val="none" w:sz="0" w:space="0" w:color="000000"/>
                <w:left w:val="none" w:sz="0" w:space="0" w:color="000000"/>
                <w:bottom w:val="none" w:sz="0" w:space="0" w:color="000000"/>
                <w:right w:val="none" w:sz="0" w:space="0" w:color="000000"/>
              </w:pBdr>
              <w:spacing w:before="100" w:after="100"/>
              <w:ind w:left="100" w:right="100"/>
              <w:rPr>
                <w:rFonts w:ascii="Calibri" w:eastAsia="MS Mincho" w:hAnsi="Calibri" w:cs="Calibri"/>
                <w:color w:val="000000"/>
              </w:rPr>
            </w:pPr>
          </w:p>
        </w:tc>
        <w:tc>
          <w:tcPr>
            <w:tcW w:w="9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F6AE4F"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rPr>
                <w:rFonts w:ascii="Calibri" w:eastAsia="MS Mincho" w:hAnsi="Calibri" w:cs="Calibri"/>
              </w:rPr>
            </w:pPr>
            <w:r w:rsidRPr="007869B9">
              <w:rPr>
                <w:rFonts w:ascii="Calibri" w:eastAsia="MS Mincho" w:hAnsi="Calibri" w:cs="Calibri"/>
                <w:color w:val="000000"/>
              </w:rPr>
              <w:t>60 -  64</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89C68B"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9.37</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92A507"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12.82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D1E8EB"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9.75</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E13E04"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10.07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14CD3C"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12.31</w:t>
            </w:r>
          </w:p>
        </w:tc>
        <w:tc>
          <w:tcPr>
            <w:tcW w:w="129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125B76"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9.21</w:t>
            </w:r>
          </w:p>
        </w:tc>
      </w:tr>
      <w:tr w:rsidR="007869B9" w:rsidRPr="007869B9" w14:paraId="4706EDD7" w14:textId="77777777" w:rsidTr="00B85982">
        <w:trPr>
          <w:cantSplit/>
          <w:jc w:val="center"/>
        </w:trPr>
        <w:tc>
          <w:tcPr>
            <w:tcW w:w="1080" w:type="dxa"/>
            <w:vMerge/>
            <w:tcBorders>
              <w:left w:val="none" w:sz="0" w:space="0" w:color="000000"/>
              <w:right w:val="none" w:sz="0" w:space="0" w:color="000000"/>
            </w:tcBorders>
            <w:shd w:val="clear" w:color="auto" w:fill="FFFFFF"/>
          </w:tcPr>
          <w:p w14:paraId="4D18891F" w14:textId="77777777" w:rsidR="007869B9" w:rsidRPr="007869B9" w:rsidRDefault="007869B9" w:rsidP="007869B9">
            <w:pPr>
              <w:keepNext/>
              <w:widowControl/>
              <w:pBdr>
                <w:top w:val="none" w:sz="0" w:space="0" w:color="000000"/>
                <w:left w:val="none" w:sz="0" w:space="0" w:color="000000"/>
                <w:bottom w:val="none" w:sz="0" w:space="0" w:color="000000"/>
                <w:right w:val="none" w:sz="0" w:space="0" w:color="000000"/>
              </w:pBdr>
              <w:spacing w:before="100" w:after="100"/>
              <w:ind w:left="100" w:right="100"/>
              <w:rPr>
                <w:rFonts w:ascii="Calibri" w:eastAsia="MS Mincho" w:hAnsi="Calibri" w:cs="Calibri"/>
                <w:color w:val="000000"/>
              </w:rPr>
            </w:pPr>
          </w:p>
        </w:tc>
        <w:tc>
          <w:tcPr>
            <w:tcW w:w="9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513723"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rPr>
                <w:rFonts w:ascii="Calibri" w:eastAsia="MS Mincho" w:hAnsi="Calibri" w:cs="Calibri"/>
              </w:rPr>
            </w:pPr>
            <w:r w:rsidRPr="007869B9">
              <w:rPr>
                <w:rFonts w:ascii="Calibri" w:eastAsia="MS Mincho" w:hAnsi="Calibri" w:cs="Calibri"/>
                <w:color w:val="000000"/>
              </w:rPr>
              <w:t>65 -  69</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BD217D"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15.71</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BAA833"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18.93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D3AD08"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15.79</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A1D317"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16.33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2BE242"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17.77</w:t>
            </w:r>
          </w:p>
        </w:tc>
        <w:tc>
          <w:tcPr>
            <w:tcW w:w="129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93F411"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16.73</w:t>
            </w:r>
          </w:p>
        </w:tc>
      </w:tr>
      <w:tr w:rsidR="007869B9" w:rsidRPr="007869B9" w14:paraId="0762FF4B" w14:textId="77777777" w:rsidTr="00B85982">
        <w:trPr>
          <w:cantSplit/>
          <w:jc w:val="center"/>
        </w:trPr>
        <w:tc>
          <w:tcPr>
            <w:tcW w:w="1080" w:type="dxa"/>
            <w:vMerge/>
            <w:tcBorders>
              <w:left w:val="none" w:sz="0" w:space="0" w:color="000000"/>
              <w:right w:val="none" w:sz="0" w:space="0" w:color="000000"/>
            </w:tcBorders>
            <w:shd w:val="clear" w:color="auto" w:fill="FFFFFF"/>
          </w:tcPr>
          <w:p w14:paraId="6FDF3DC0" w14:textId="77777777" w:rsidR="007869B9" w:rsidRPr="007869B9" w:rsidRDefault="007869B9" w:rsidP="007869B9">
            <w:pPr>
              <w:keepNext/>
              <w:widowControl/>
              <w:pBdr>
                <w:top w:val="none" w:sz="0" w:space="0" w:color="000000"/>
                <w:left w:val="none" w:sz="0" w:space="0" w:color="000000"/>
                <w:bottom w:val="none" w:sz="0" w:space="0" w:color="000000"/>
                <w:right w:val="none" w:sz="0" w:space="0" w:color="000000"/>
              </w:pBdr>
              <w:spacing w:before="100" w:after="100"/>
              <w:ind w:left="100" w:right="100"/>
              <w:rPr>
                <w:rFonts w:ascii="Calibri" w:eastAsia="MS Mincho" w:hAnsi="Calibri" w:cs="Calibri"/>
                <w:color w:val="000000"/>
              </w:rPr>
            </w:pPr>
          </w:p>
        </w:tc>
        <w:tc>
          <w:tcPr>
            <w:tcW w:w="9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50E296"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rPr>
                <w:rFonts w:ascii="Calibri" w:eastAsia="MS Mincho" w:hAnsi="Calibri" w:cs="Calibri"/>
              </w:rPr>
            </w:pPr>
            <w:r w:rsidRPr="007869B9">
              <w:rPr>
                <w:rFonts w:ascii="Calibri" w:eastAsia="MS Mincho" w:hAnsi="Calibri" w:cs="Calibri"/>
                <w:color w:val="000000"/>
              </w:rPr>
              <w:t>70 -  74</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118DCD"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19.90</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79CE3C"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20.38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E9A8B1"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18.79</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F9606B"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19.81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F4EC13"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20.46</w:t>
            </w:r>
          </w:p>
        </w:tc>
        <w:tc>
          <w:tcPr>
            <w:tcW w:w="129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114A7A"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20.68</w:t>
            </w:r>
          </w:p>
        </w:tc>
      </w:tr>
      <w:tr w:rsidR="007869B9" w:rsidRPr="007869B9" w14:paraId="66A6A9AA" w14:textId="77777777" w:rsidTr="00B85982">
        <w:trPr>
          <w:cantSplit/>
          <w:jc w:val="center"/>
        </w:trPr>
        <w:tc>
          <w:tcPr>
            <w:tcW w:w="1080" w:type="dxa"/>
            <w:vMerge/>
            <w:tcBorders>
              <w:left w:val="none" w:sz="0" w:space="0" w:color="000000"/>
              <w:right w:val="none" w:sz="0" w:space="0" w:color="000000"/>
            </w:tcBorders>
            <w:shd w:val="clear" w:color="auto" w:fill="FFFFFF"/>
          </w:tcPr>
          <w:p w14:paraId="7BE892F8" w14:textId="77777777" w:rsidR="007869B9" w:rsidRPr="007869B9" w:rsidRDefault="007869B9" w:rsidP="007869B9">
            <w:pPr>
              <w:keepNext/>
              <w:widowControl/>
              <w:pBdr>
                <w:top w:val="none" w:sz="0" w:space="0" w:color="000000"/>
                <w:left w:val="none" w:sz="0" w:space="0" w:color="000000"/>
                <w:bottom w:val="none" w:sz="0" w:space="0" w:color="000000"/>
                <w:right w:val="none" w:sz="0" w:space="0" w:color="000000"/>
              </w:pBdr>
              <w:spacing w:before="100" w:after="100"/>
              <w:ind w:left="100" w:right="100"/>
              <w:rPr>
                <w:rFonts w:ascii="Calibri" w:eastAsia="MS Mincho" w:hAnsi="Calibri" w:cs="Calibri"/>
                <w:color w:val="000000"/>
              </w:rPr>
            </w:pPr>
          </w:p>
        </w:tc>
        <w:tc>
          <w:tcPr>
            <w:tcW w:w="9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5B332D"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rPr>
                <w:rFonts w:ascii="Calibri" w:eastAsia="MS Mincho" w:hAnsi="Calibri" w:cs="Calibri"/>
              </w:rPr>
            </w:pPr>
            <w:r w:rsidRPr="007869B9">
              <w:rPr>
                <w:rFonts w:ascii="Calibri" w:eastAsia="MS Mincho" w:hAnsi="Calibri" w:cs="Calibri"/>
                <w:color w:val="000000"/>
              </w:rPr>
              <w:t>75 -  79</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C6FB38"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16.15</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A08430"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12.61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FBEE0B"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15.58</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E7F635"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15.27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DD43C5"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13.60</w:t>
            </w:r>
          </w:p>
        </w:tc>
        <w:tc>
          <w:tcPr>
            <w:tcW w:w="129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7DA16D"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16.10</w:t>
            </w:r>
          </w:p>
        </w:tc>
      </w:tr>
      <w:tr w:rsidR="007869B9" w:rsidRPr="007869B9" w14:paraId="2BBCFC4B" w14:textId="77777777" w:rsidTr="00B85982">
        <w:trPr>
          <w:cantSplit/>
          <w:jc w:val="center"/>
        </w:trPr>
        <w:tc>
          <w:tcPr>
            <w:tcW w:w="1080" w:type="dxa"/>
            <w:vMerge/>
            <w:tcBorders>
              <w:left w:val="none" w:sz="0" w:space="0" w:color="000000"/>
              <w:right w:val="none" w:sz="0" w:space="0" w:color="000000"/>
            </w:tcBorders>
            <w:shd w:val="clear" w:color="auto" w:fill="FFFFFF"/>
          </w:tcPr>
          <w:p w14:paraId="22C7BB26" w14:textId="77777777" w:rsidR="007869B9" w:rsidRPr="007869B9" w:rsidRDefault="007869B9" w:rsidP="007869B9">
            <w:pPr>
              <w:keepNext/>
              <w:widowControl/>
              <w:pBdr>
                <w:top w:val="none" w:sz="0" w:space="0" w:color="000000"/>
                <w:left w:val="none" w:sz="0" w:space="0" w:color="000000"/>
                <w:bottom w:val="none" w:sz="0" w:space="0" w:color="000000"/>
                <w:right w:val="none" w:sz="0" w:space="0" w:color="000000"/>
              </w:pBdr>
              <w:spacing w:before="100" w:after="100"/>
              <w:ind w:left="100" w:right="100"/>
              <w:rPr>
                <w:rFonts w:ascii="Calibri" w:eastAsia="MS Mincho" w:hAnsi="Calibri" w:cs="Calibri"/>
                <w:color w:val="000000"/>
              </w:rPr>
            </w:pPr>
          </w:p>
        </w:tc>
        <w:tc>
          <w:tcPr>
            <w:tcW w:w="9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6352DB"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rPr>
                <w:rFonts w:ascii="Calibri" w:eastAsia="MS Mincho" w:hAnsi="Calibri" w:cs="Calibri"/>
              </w:rPr>
            </w:pPr>
            <w:r w:rsidRPr="007869B9">
              <w:rPr>
                <w:rFonts w:ascii="Calibri" w:eastAsia="MS Mincho" w:hAnsi="Calibri" w:cs="Calibri"/>
                <w:color w:val="000000"/>
              </w:rPr>
              <w:t>80 -  84</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6E8248"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12.61</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89057B"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5.87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A42D4D"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12.47</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6AD936"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11.02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1BB85E"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6.94</w:t>
            </w:r>
          </w:p>
        </w:tc>
        <w:tc>
          <w:tcPr>
            <w:tcW w:w="129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7CE07E"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11.72</w:t>
            </w:r>
          </w:p>
        </w:tc>
      </w:tr>
      <w:tr w:rsidR="007869B9" w:rsidRPr="007869B9" w14:paraId="1F75299E" w14:textId="77777777" w:rsidTr="00B85982">
        <w:trPr>
          <w:cantSplit/>
          <w:jc w:val="center"/>
        </w:trPr>
        <w:tc>
          <w:tcPr>
            <w:tcW w:w="1080" w:type="dxa"/>
            <w:vMerge/>
            <w:tcBorders>
              <w:left w:val="none" w:sz="0" w:space="0" w:color="000000"/>
              <w:right w:val="none" w:sz="0" w:space="0" w:color="000000"/>
            </w:tcBorders>
            <w:shd w:val="clear" w:color="auto" w:fill="FFFFFF"/>
          </w:tcPr>
          <w:p w14:paraId="0C279DC5" w14:textId="77777777" w:rsidR="007869B9" w:rsidRPr="007869B9" w:rsidRDefault="007869B9" w:rsidP="007869B9">
            <w:pPr>
              <w:keepNext/>
              <w:widowControl/>
              <w:pBdr>
                <w:top w:val="none" w:sz="0" w:space="0" w:color="000000"/>
                <w:left w:val="none" w:sz="0" w:space="0" w:color="000000"/>
                <w:bottom w:val="none" w:sz="0" w:space="0" w:color="000000"/>
                <w:right w:val="none" w:sz="0" w:space="0" w:color="000000"/>
              </w:pBdr>
              <w:spacing w:before="100" w:after="100"/>
              <w:ind w:left="100" w:right="100"/>
              <w:rPr>
                <w:rFonts w:ascii="Calibri" w:eastAsia="MS Mincho" w:hAnsi="Calibri" w:cs="Calibri"/>
                <w:color w:val="000000"/>
              </w:rPr>
            </w:pPr>
          </w:p>
        </w:tc>
        <w:tc>
          <w:tcPr>
            <w:tcW w:w="9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DC3DD8"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rPr>
                <w:rFonts w:ascii="Calibri" w:eastAsia="MS Mincho" w:hAnsi="Calibri" w:cs="Calibri"/>
              </w:rPr>
            </w:pPr>
            <w:r w:rsidRPr="007869B9">
              <w:rPr>
                <w:rFonts w:ascii="Calibri" w:eastAsia="MS Mincho" w:hAnsi="Calibri" w:cs="Calibri"/>
                <w:color w:val="000000"/>
              </w:rPr>
              <w:t>85 -  89</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3D78E9"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8.29</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545CA3"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2.63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729276"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9.15</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698A04"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6.78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E08A6E"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3.13</w:t>
            </w:r>
          </w:p>
        </w:tc>
        <w:tc>
          <w:tcPr>
            <w:tcW w:w="129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2B62AB"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7.13</w:t>
            </w:r>
          </w:p>
        </w:tc>
      </w:tr>
      <w:tr w:rsidR="007869B9" w:rsidRPr="007869B9" w14:paraId="1CCCC9B3" w14:textId="77777777" w:rsidTr="00B85982">
        <w:trPr>
          <w:cantSplit/>
          <w:jc w:val="center"/>
        </w:trPr>
        <w:tc>
          <w:tcPr>
            <w:tcW w:w="1080" w:type="dxa"/>
            <w:vMerge/>
            <w:tcBorders>
              <w:left w:val="none" w:sz="0" w:space="0" w:color="000000"/>
              <w:bottom w:val="single" w:sz="4" w:space="0" w:color="auto"/>
              <w:right w:val="none" w:sz="0" w:space="0" w:color="000000"/>
            </w:tcBorders>
            <w:shd w:val="clear" w:color="auto" w:fill="FFFFFF"/>
          </w:tcPr>
          <w:p w14:paraId="6CCA50A9" w14:textId="77777777" w:rsidR="007869B9" w:rsidRPr="007869B9" w:rsidRDefault="007869B9" w:rsidP="007869B9">
            <w:pPr>
              <w:keepNext/>
              <w:widowControl/>
              <w:pBdr>
                <w:top w:val="none" w:sz="0" w:space="0" w:color="000000"/>
                <w:left w:val="none" w:sz="0" w:space="0" w:color="000000"/>
                <w:bottom w:val="none" w:sz="0" w:space="0" w:color="000000"/>
                <w:right w:val="none" w:sz="0" w:space="0" w:color="000000"/>
              </w:pBdr>
              <w:spacing w:before="100" w:after="100"/>
              <w:ind w:left="100" w:right="100"/>
              <w:rPr>
                <w:rFonts w:ascii="Calibri" w:eastAsia="MS Mincho" w:hAnsi="Calibri" w:cs="Calibri"/>
                <w:color w:val="000000"/>
              </w:rPr>
            </w:pPr>
          </w:p>
        </w:tc>
        <w:tc>
          <w:tcPr>
            <w:tcW w:w="954" w:type="dxa"/>
            <w:tcBorders>
              <w:top w:val="none" w:sz="0" w:space="0" w:color="000000"/>
              <w:left w:val="none" w:sz="0" w:space="0" w:color="000000"/>
              <w:bottom w:val="single" w:sz="4" w:space="0" w:color="auto"/>
              <w:right w:val="none" w:sz="0" w:space="0" w:color="000000"/>
            </w:tcBorders>
            <w:shd w:val="clear" w:color="auto" w:fill="FFFFFF"/>
            <w:tcMar>
              <w:top w:w="0" w:type="dxa"/>
              <w:left w:w="0" w:type="dxa"/>
              <w:bottom w:w="0" w:type="dxa"/>
              <w:right w:w="0" w:type="dxa"/>
            </w:tcMar>
            <w:vAlign w:val="center"/>
          </w:tcPr>
          <w:p w14:paraId="2885616D"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rPr>
                <w:rFonts w:ascii="Calibri" w:eastAsia="MS Mincho" w:hAnsi="Calibri" w:cs="Calibri"/>
              </w:rPr>
            </w:pPr>
            <w:r w:rsidRPr="007869B9">
              <w:rPr>
                <w:rFonts w:ascii="Calibri" w:eastAsia="MS Mincho" w:hAnsi="Calibri" w:cs="Calibri"/>
                <w:color w:val="000000"/>
              </w:rPr>
              <w:t>90 -  94</w:t>
            </w:r>
          </w:p>
        </w:tc>
        <w:tc>
          <w:tcPr>
            <w:tcW w:w="990" w:type="dxa"/>
            <w:tcBorders>
              <w:top w:val="none" w:sz="0" w:space="0" w:color="000000"/>
              <w:left w:val="none" w:sz="0" w:space="0" w:color="000000"/>
              <w:bottom w:val="single" w:sz="4" w:space="0" w:color="auto"/>
              <w:right w:val="none" w:sz="0" w:space="0" w:color="000000"/>
            </w:tcBorders>
            <w:shd w:val="clear" w:color="auto" w:fill="FFFFFF"/>
            <w:tcMar>
              <w:top w:w="0" w:type="dxa"/>
              <w:left w:w="0" w:type="dxa"/>
              <w:bottom w:w="0" w:type="dxa"/>
              <w:right w:w="0" w:type="dxa"/>
            </w:tcMar>
            <w:vAlign w:val="center"/>
          </w:tcPr>
          <w:p w14:paraId="1FF75A28"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1.00</w:t>
            </w:r>
          </w:p>
        </w:tc>
        <w:tc>
          <w:tcPr>
            <w:tcW w:w="990" w:type="dxa"/>
            <w:tcBorders>
              <w:top w:val="none" w:sz="0" w:space="0" w:color="000000"/>
              <w:left w:val="none" w:sz="0" w:space="0" w:color="000000"/>
              <w:bottom w:val="single" w:sz="4" w:space="0" w:color="auto"/>
              <w:right w:val="none" w:sz="0" w:space="0" w:color="000000"/>
            </w:tcBorders>
            <w:shd w:val="clear" w:color="auto" w:fill="FFFFFF"/>
            <w:tcMar>
              <w:top w:w="0" w:type="dxa"/>
              <w:left w:w="0" w:type="dxa"/>
              <w:bottom w:w="0" w:type="dxa"/>
              <w:right w:w="0" w:type="dxa"/>
            </w:tcMar>
            <w:vAlign w:val="center"/>
          </w:tcPr>
          <w:p w14:paraId="6F4A75EA"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0.25</w:t>
            </w:r>
          </w:p>
        </w:tc>
        <w:tc>
          <w:tcPr>
            <w:tcW w:w="1080" w:type="dxa"/>
            <w:tcBorders>
              <w:top w:val="none" w:sz="0" w:space="0" w:color="000000"/>
              <w:left w:val="none" w:sz="0" w:space="0" w:color="000000"/>
              <w:bottom w:val="single" w:sz="4" w:space="0" w:color="auto"/>
              <w:right w:val="none" w:sz="0" w:space="0" w:color="000000"/>
            </w:tcBorders>
            <w:shd w:val="clear" w:color="auto" w:fill="FFFFFF"/>
            <w:tcMar>
              <w:top w:w="0" w:type="dxa"/>
              <w:left w:w="0" w:type="dxa"/>
              <w:bottom w:w="0" w:type="dxa"/>
              <w:right w:w="0" w:type="dxa"/>
            </w:tcMar>
            <w:vAlign w:val="center"/>
          </w:tcPr>
          <w:p w14:paraId="169A737E"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1.41</w:t>
            </w:r>
          </w:p>
        </w:tc>
        <w:tc>
          <w:tcPr>
            <w:tcW w:w="1170" w:type="dxa"/>
            <w:tcBorders>
              <w:top w:val="none" w:sz="0" w:space="0" w:color="000000"/>
              <w:left w:val="none" w:sz="0" w:space="0" w:color="000000"/>
              <w:bottom w:val="single" w:sz="4" w:space="0" w:color="auto"/>
              <w:right w:val="none" w:sz="0" w:space="0" w:color="000000"/>
            </w:tcBorders>
            <w:shd w:val="clear" w:color="auto" w:fill="FFFFFF"/>
            <w:tcMar>
              <w:top w:w="0" w:type="dxa"/>
              <w:left w:w="0" w:type="dxa"/>
              <w:bottom w:w="0" w:type="dxa"/>
              <w:right w:w="0" w:type="dxa"/>
            </w:tcMar>
            <w:vAlign w:val="center"/>
          </w:tcPr>
          <w:p w14:paraId="3E4D6863"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0.95</w:t>
            </w:r>
          </w:p>
        </w:tc>
        <w:tc>
          <w:tcPr>
            <w:tcW w:w="1080" w:type="dxa"/>
            <w:tcBorders>
              <w:top w:val="none" w:sz="0" w:space="0" w:color="000000"/>
              <w:left w:val="none" w:sz="0" w:space="0" w:color="000000"/>
              <w:bottom w:val="single" w:sz="4" w:space="0" w:color="auto"/>
              <w:right w:val="none" w:sz="0" w:space="0" w:color="000000"/>
            </w:tcBorders>
            <w:shd w:val="clear" w:color="auto" w:fill="FFFFFF"/>
            <w:tcMar>
              <w:top w:w="0" w:type="dxa"/>
              <w:left w:w="0" w:type="dxa"/>
              <w:bottom w:w="0" w:type="dxa"/>
              <w:right w:w="0" w:type="dxa"/>
            </w:tcMar>
            <w:vAlign w:val="center"/>
          </w:tcPr>
          <w:p w14:paraId="3AAA7FF9"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0.36</w:t>
            </w:r>
          </w:p>
        </w:tc>
        <w:tc>
          <w:tcPr>
            <w:tcW w:w="1296" w:type="dxa"/>
            <w:tcBorders>
              <w:top w:val="none" w:sz="0" w:space="0" w:color="000000"/>
              <w:left w:val="none" w:sz="0" w:space="0" w:color="000000"/>
              <w:bottom w:val="single" w:sz="4" w:space="0" w:color="auto"/>
              <w:right w:val="none" w:sz="0" w:space="0" w:color="000000"/>
            </w:tcBorders>
            <w:shd w:val="clear" w:color="auto" w:fill="FFFFFF"/>
            <w:tcMar>
              <w:top w:w="0" w:type="dxa"/>
              <w:left w:w="0" w:type="dxa"/>
              <w:bottom w:w="0" w:type="dxa"/>
              <w:right w:w="0" w:type="dxa"/>
            </w:tcMar>
            <w:vAlign w:val="center"/>
          </w:tcPr>
          <w:p w14:paraId="39FC3D69"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1.05</w:t>
            </w:r>
          </w:p>
        </w:tc>
      </w:tr>
      <w:tr w:rsidR="007869B9" w:rsidRPr="007869B9" w14:paraId="725A1C71" w14:textId="77777777" w:rsidTr="00B85982">
        <w:trPr>
          <w:cantSplit/>
          <w:jc w:val="center"/>
        </w:trPr>
        <w:tc>
          <w:tcPr>
            <w:tcW w:w="1080" w:type="dxa"/>
            <w:vMerge w:val="restart"/>
            <w:tcBorders>
              <w:top w:val="single" w:sz="4" w:space="0" w:color="auto"/>
              <w:left w:val="none" w:sz="0" w:space="0" w:color="000000"/>
              <w:right w:val="none" w:sz="0" w:space="0" w:color="000000"/>
            </w:tcBorders>
            <w:shd w:val="clear" w:color="auto" w:fill="FFFFFF"/>
            <w:vAlign w:val="center"/>
          </w:tcPr>
          <w:p w14:paraId="7762A8B9" w14:textId="77777777" w:rsidR="007869B9" w:rsidRPr="007869B9" w:rsidRDefault="007869B9" w:rsidP="007869B9">
            <w:pPr>
              <w:keepNext/>
              <w:widowControl/>
              <w:pBdr>
                <w:top w:val="none" w:sz="0" w:space="0" w:color="000000"/>
                <w:left w:val="none" w:sz="0" w:space="0" w:color="000000"/>
                <w:bottom w:val="none" w:sz="0" w:space="0" w:color="000000"/>
                <w:right w:val="none" w:sz="0" w:space="0" w:color="000000"/>
              </w:pBdr>
              <w:spacing w:before="100" w:after="100"/>
              <w:ind w:left="100" w:right="100"/>
              <w:rPr>
                <w:rFonts w:ascii="Calibri" w:eastAsia="MS Mincho" w:hAnsi="Calibri" w:cs="Calibri"/>
                <w:color w:val="000000"/>
              </w:rPr>
            </w:pPr>
            <w:r w:rsidRPr="007869B9">
              <w:rPr>
                <w:rFonts w:ascii="Calibri" w:eastAsia="MS Mincho" w:hAnsi="Calibri" w:cs="Calibri"/>
                <w:color w:val="000000"/>
              </w:rPr>
              <w:t>Index Year</w:t>
            </w:r>
          </w:p>
        </w:tc>
        <w:tc>
          <w:tcPr>
            <w:tcW w:w="954" w:type="dxa"/>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EFB31A"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rPr>
                <w:rFonts w:ascii="Calibri" w:eastAsia="MS Mincho" w:hAnsi="Calibri" w:cs="Calibri"/>
              </w:rPr>
            </w:pPr>
            <w:r w:rsidRPr="007869B9">
              <w:rPr>
                <w:rFonts w:ascii="Calibri" w:eastAsia="MS Mincho" w:hAnsi="Calibri" w:cs="Calibri"/>
                <w:color w:val="000000"/>
              </w:rPr>
              <w:t>2012</w:t>
            </w:r>
          </w:p>
        </w:tc>
        <w:tc>
          <w:tcPr>
            <w:tcW w:w="990" w:type="dxa"/>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B6A384"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9.59</w:t>
            </w:r>
          </w:p>
        </w:tc>
        <w:tc>
          <w:tcPr>
            <w:tcW w:w="990" w:type="dxa"/>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ABEC33"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3.41</w:t>
            </w:r>
          </w:p>
        </w:tc>
        <w:tc>
          <w:tcPr>
            <w:tcW w:w="1080" w:type="dxa"/>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913413"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6.55</w:t>
            </w:r>
          </w:p>
        </w:tc>
        <w:tc>
          <w:tcPr>
            <w:tcW w:w="1170" w:type="dxa"/>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8784B0"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7.48</w:t>
            </w:r>
          </w:p>
        </w:tc>
        <w:tc>
          <w:tcPr>
            <w:tcW w:w="1080" w:type="dxa"/>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FA07DE"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N/A</w:t>
            </w:r>
          </w:p>
        </w:tc>
        <w:tc>
          <w:tcPr>
            <w:tcW w:w="1296" w:type="dxa"/>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0C7E67"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7.54</w:t>
            </w:r>
          </w:p>
        </w:tc>
      </w:tr>
      <w:tr w:rsidR="007869B9" w:rsidRPr="007869B9" w14:paraId="05B8E56D" w14:textId="77777777" w:rsidTr="00B85982">
        <w:trPr>
          <w:cantSplit/>
          <w:jc w:val="center"/>
        </w:trPr>
        <w:tc>
          <w:tcPr>
            <w:tcW w:w="1080" w:type="dxa"/>
            <w:vMerge/>
            <w:tcBorders>
              <w:left w:val="none" w:sz="0" w:space="0" w:color="000000"/>
              <w:right w:val="none" w:sz="0" w:space="0" w:color="000000"/>
            </w:tcBorders>
            <w:shd w:val="clear" w:color="auto" w:fill="FFFFFF"/>
          </w:tcPr>
          <w:p w14:paraId="060211E4" w14:textId="77777777" w:rsidR="007869B9" w:rsidRPr="007869B9" w:rsidRDefault="007869B9" w:rsidP="007869B9">
            <w:pPr>
              <w:keepNext/>
              <w:widowControl/>
              <w:pBdr>
                <w:top w:val="none" w:sz="0" w:space="0" w:color="000000"/>
                <w:left w:val="none" w:sz="0" w:space="0" w:color="000000"/>
                <w:bottom w:val="none" w:sz="0" w:space="0" w:color="000000"/>
                <w:right w:val="none" w:sz="0" w:space="0" w:color="000000"/>
              </w:pBdr>
              <w:spacing w:before="100" w:after="100"/>
              <w:ind w:left="100" w:right="100"/>
              <w:rPr>
                <w:rFonts w:ascii="Calibri" w:eastAsia="MS Mincho" w:hAnsi="Calibri" w:cs="Calibri"/>
                <w:color w:val="000000"/>
              </w:rPr>
            </w:pPr>
          </w:p>
        </w:tc>
        <w:tc>
          <w:tcPr>
            <w:tcW w:w="9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750E9A"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rPr>
                <w:rFonts w:ascii="Calibri" w:eastAsia="MS Mincho" w:hAnsi="Calibri" w:cs="Calibri"/>
              </w:rPr>
            </w:pPr>
            <w:r w:rsidRPr="007869B9">
              <w:rPr>
                <w:rFonts w:ascii="Calibri" w:eastAsia="MS Mincho" w:hAnsi="Calibri" w:cs="Calibri"/>
                <w:color w:val="000000"/>
              </w:rPr>
              <w:t>2013</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BDFB51"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8.31</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5F364E"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3.14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B32D0B"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6.92</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D3EF9D"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7.48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9C3419"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1.83</w:t>
            </w:r>
          </w:p>
        </w:tc>
        <w:tc>
          <w:tcPr>
            <w:tcW w:w="129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8789A8"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7.22</w:t>
            </w:r>
          </w:p>
        </w:tc>
      </w:tr>
      <w:tr w:rsidR="007869B9" w:rsidRPr="007869B9" w14:paraId="23925A68" w14:textId="77777777" w:rsidTr="00B85982">
        <w:trPr>
          <w:cantSplit/>
          <w:jc w:val="center"/>
        </w:trPr>
        <w:tc>
          <w:tcPr>
            <w:tcW w:w="1080" w:type="dxa"/>
            <w:vMerge/>
            <w:tcBorders>
              <w:left w:val="none" w:sz="0" w:space="0" w:color="000000"/>
              <w:right w:val="none" w:sz="0" w:space="0" w:color="000000"/>
            </w:tcBorders>
            <w:shd w:val="clear" w:color="auto" w:fill="FFFFFF"/>
          </w:tcPr>
          <w:p w14:paraId="21462F96" w14:textId="77777777" w:rsidR="007869B9" w:rsidRPr="007869B9" w:rsidRDefault="007869B9" w:rsidP="007869B9">
            <w:pPr>
              <w:keepNext/>
              <w:widowControl/>
              <w:pBdr>
                <w:top w:val="none" w:sz="0" w:space="0" w:color="000000"/>
                <w:left w:val="none" w:sz="0" w:space="0" w:color="000000"/>
                <w:bottom w:val="none" w:sz="0" w:space="0" w:color="000000"/>
                <w:right w:val="none" w:sz="0" w:space="0" w:color="000000"/>
              </w:pBdr>
              <w:spacing w:before="100" w:after="100"/>
              <w:ind w:left="100" w:right="100"/>
              <w:rPr>
                <w:rFonts w:ascii="Calibri" w:eastAsia="MS Mincho" w:hAnsi="Calibri" w:cs="Calibri"/>
                <w:color w:val="000000"/>
              </w:rPr>
            </w:pPr>
          </w:p>
        </w:tc>
        <w:tc>
          <w:tcPr>
            <w:tcW w:w="9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9C4EAF"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rPr>
                <w:rFonts w:ascii="Calibri" w:eastAsia="MS Mincho" w:hAnsi="Calibri" w:cs="Calibri"/>
              </w:rPr>
            </w:pPr>
            <w:r w:rsidRPr="007869B9">
              <w:rPr>
                <w:rFonts w:ascii="Calibri" w:eastAsia="MS Mincho" w:hAnsi="Calibri" w:cs="Calibri"/>
                <w:color w:val="000000"/>
              </w:rPr>
              <w:t>2014</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83441A"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7.43</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D85995"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2.88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F1958C"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6.40</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0315B1"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7.45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640EA0"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5.25</w:t>
            </w:r>
          </w:p>
        </w:tc>
        <w:tc>
          <w:tcPr>
            <w:tcW w:w="129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91FC8C"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6.41</w:t>
            </w:r>
          </w:p>
        </w:tc>
      </w:tr>
      <w:tr w:rsidR="007869B9" w:rsidRPr="007869B9" w14:paraId="3AD3BC25" w14:textId="77777777" w:rsidTr="00B85982">
        <w:trPr>
          <w:cantSplit/>
          <w:jc w:val="center"/>
        </w:trPr>
        <w:tc>
          <w:tcPr>
            <w:tcW w:w="1080" w:type="dxa"/>
            <w:vMerge/>
            <w:tcBorders>
              <w:left w:val="none" w:sz="0" w:space="0" w:color="000000"/>
              <w:right w:val="none" w:sz="0" w:space="0" w:color="000000"/>
            </w:tcBorders>
            <w:shd w:val="clear" w:color="auto" w:fill="FFFFFF"/>
          </w:tcPr>
          <w:p w14:paraId="40A30F90" w14:textId="77777777" w:rsidR="007869B9" w:rsidRPr="007869B9" w:rsidRDefault="007869B9" w:rsidP="007869B9">
            <w:pPr>
              <w:keepNext/>
              <w:widowControl/>
              <w:pBdr>
                <w:top w:val="none" w:sz="0" w:space="0" w:color="000000"/>
                <w:left w:val="none" w:sz="0" w:space="0" w:color="000000"/>
                <w:bottom w:val="none" w:sz="0" w:space="0" w:color="000000"/>
                <w:right w:val="none" w:sz="0" w:space="0" w:color="000000"/>
              </w:pBdr>
              <w:spacing w:before="100" w:after="100"/>
              <w:ind w:left="100" w:right="100"/>
              <w:rPr>
                <w:rFonts w:ascii="Calibri" w:eastAsia="MS Mincho" w:hAnsi="Calibri" w:cs="Calibri"/>
                <w:color w:val="000000"/>
              </w:rPr>
            </w:pPr>
          </w:p>
        </w:tc>
        <w:tc>
          <w:tcPr>
            <w:tcW w:w="9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98E19A"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rPr>
                <w:rFonts w:ascii="Calibri" w:eastAsia="MS Mincho" w:hAnsi="Calibri" w:cs="Calibri"/>
              </w:rPr>
            </w:pPr>
            <w:r w:rsidRPr="007869B9">
              <w:rPr>
                <w:rFonts w:ascii="Calibri" w:eastAsia="MS Mincho" w:hAnsi="Calibri" w:cs="Calibri"/>
                <w:color w:val="000000"/>
              </w:rPr>
              <w:t>2015</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13A610"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7.19</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D69AD7"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3.85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FEFA94"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7.18</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DFDCC1"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8.72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249B8C"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7.01</w:t>
            </w:r>
          </w:p>
        </w:tc>
        <w:tc>
          <w:tcPr>
            <w:tcW w:w="129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7035FC"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8.00</w:t>
            </w:r>
          </w:p>
        </w:tc>
      </w:tr>
      <w:tr w:rsidR="007869B9" w:rsidRPr="007869B9" w14:paraId="4A6A5A8D" w14:textId="77777777" w:rsidTr="00B85982">
        <w:trPr>
          <w:cantSplit/>
          <w:jc w:val="center"/>
        </w:trPr>
        <w:tc>
          <w:tcPr>
            <w:tcW w:w="1080" w:type="dxa"/>
            <w:vMerge/>
            <w:tcBorders>
              <w:left w:val="none" w:sz="0" w:space="0" w:color="000000"/>
              <w:right w:val="none" w:sz="0" w:space="0" w:color="000000"/>
            </w:tcBorders>
            <w:shd w:val="clear" w:color="auto" w:fill="FFFFFF"/>
          </w:tcPr>
          <w:p w14:paraId="67E5A8BD" w14:textId="77777777" w:rsidR="007869B9" w:rsidRPr="007869B9" w:rsidRDefault="007869B9" w:rsidP="007869B9">
            <w:pPr>
              <w:keepNext/>
              <w:widowControl/>
              <w:pBdr>
                <w:top w:val="none" w:sz="0" w:space="0" w:color="000000"/>
                <w:left w:val="none" w:sz="0" w:space="0" w:color="000000"/>
                <w:bottom w:val="none" w:sz="0" w:space="0" w:color="000000"/>
                <w:right w:val="none" w:sz="0" w:space="0" w:color="000000"/>
              </w:pBdr>
              <w:spacing w:before="100" w:after="100"/>
              <w:ind w:left="100" w:right="100"/>
              <w:rPr>
                <w:rFonts w:ascii="Calibri" w:eastAsia="MS Mincho" w:hAnsi="Calibri" w:cs="Calibri"/>
                <w:color w:val="000000"/>
              </w:rPr>
            </w:pPr>
          </w:p>
        </w:tc>
        <w:tc>
          <w:tcPr>
            <w:tcW w:w="9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873792"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rPr>
                <w:rFonts w:ascii="Calibri" w:eastAsia="MS Mincho" w:hAnsi="Calibri" w:cs="Calibri"/>
              </w:rPr>
            </w:pPr>
            <w:r w:rsidRPr="007869B9">
              <w:rPr>
                <w:rFonts w:ascii="Calibri" w:eastAsia="MS Mincho" w:hAnsi="Calibri" w:cs="Calibri"/>
                <w:color w:val="000000"/>
              </w:rPr>
              <w:t>2016</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6BBEDF"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8.78</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863AF7"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6.05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90FA48"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8.60</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DE9338"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9.83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C296F3"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7.08</w:t>
            </w:r>
          </w:p>
        </w:tc>
        <w:tc>
          <w:tcPr>
            <w:tcW w:w="129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25A652"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8.95</w:t>
            </w:r>
          </w:p>
        </w:tc>
      </w:tr>
      <w:tr w:rsidR="007869B9" w:rsidRPr="007869B9" w14:paraId="01DD2605" w14:textId="77777777" w:rsidTr="00B85982">
        <w:trPr>
          <w:cantSplit/>
          <w:jc w:val="center"/>
        </w:trPr>
        <w:tc>
          <w:tcPr>
            <w:tcW w:w="1080" w:type="dxa"/>
            <w:vMerge/>
            <w:tcBorders>
              <w:left w:val="none" w:sz="0" w:space="0" w:color="000000"/>
              <w:right w:val="none" w:sz="0" w:space="0" w:color="000000"/>
            </w:tcBorders>
            <w:shd w:val="clear" w:color="auto" w:fill="FFFFFF"/>
          </w:tcPr>
          <w:p w14:paraId="6D20A6FD" w14:textId="77777777" w:rsidR="007869B9" w:rsidRPr="007869B9" w:rsidRDefault="007869B9" w:rsidP="007869B9">
            <w:pPr>
              <w:keepNext/>
              <w:widowControl/>
              <w:pBdr>
                <w:top w:val="none" w:sz="0" w:space="0" w:color="000000"/>
                <w:left w:val="none" w:sz="0" w:space="0" w:color="000000"/>
                <w:bottom w:val="none" w:sz="0" w:space="0" w:color="000000"/>
                <w:right w:val="none" w:sz="0" w:space="0" w:color="000000"/>
              </w:pBdr>
              <w:spacing w:before="100" w:after="100"/>
              <w:ind w:left="100" w:right="100"/>
              <w:rPr>
                <w:rFonts w:ascii="Calibri" w:eastAsia="MS Mincho" w:hAnsi="Calibri" w:cs="Calibri"/>
                <w:color w:val="000000"/>
              </w:rPr>
            </w:pPr>
          </w:p>
        </w:tc>
        <w:tc>
          <w:tcPr>
            <w:tcW w:w="9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B33AF6"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rPr>
                <w:rFonts w:ascii="Calibri" w:eastAsia="MS Mincho" w:hAnsi="Calibri" w:cs="Calibri"/>
              </w:rPr>
            </w:pPr>
            <w:r w:rsidRPr="007869B9">
              <w:rPr>
                <w:rFonts w:ascii="Calibri" w:eastAsia="MS Mincho" w:hAnsi="Calibri" w:cs="Calibri"/>
                <w:color w:val="000000"/>
              </w:rPr>
              <w:t>2017</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E9BD5E"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11.49</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129C5C"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10.15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054DC3"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11.84</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851199"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12.12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00F9AB"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9.78</w:t>
            </w:r>
          </w:p>
        </w:tc>
        <w:tc>
          <w:tcPr>
            <w:tcW w:w="129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76DBDC"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11.79</w:t>
            </w:r>
          </w:p>
        </w:tc>
      </w:tr>
      <w:tr w:rsidR="007869B9" w:rsidRPr="007869B9" w14:paraId="770B9696" w14:textId="77777777" w:rsidTr="00B85982">
        <w:trPr>
          <w:cantSplit/>
          <w:jc w:val="center"/>
        </w:trPr>
        <w:tc>
          <w:tcPr>
            <w:tcW w:w="1080" w:type="dxa"/>
            <w:vMerge/>
            <w:tcBorders>
              <w:left w:val="none" w:sz="0" w:space="0" w:color="000000"/>
              <w:right w:val="none" w:sz="0" w:space="0" w:color="000000"/>
            </w:tcBorders>
            <w:shd w:val="clear" w:color="auto" w:fill="FFFFFF"/>
          </w:tcPr>
          <w:p w14:paraId="1C084FE8" w14:textId="77777777" w:rsidR="007869B9" w:rsidRPr="007869B9" w:rsidRDefault="007869B9" w:rsidP="007869B9">
            <w:pPr>
              <w:keepNext/>
              <w:widowControl/>
              <w:pBdr>
                <w:top w:val="none" w:sz="0" w:space="0" w:color="000000"/>
                <w:left w:val="none" w:sz="0" w:space="0" w:color="000000"/>
                <w:bottom w:val="none" w:sz="0" w:space="0" w:color="000000"/>
                <w:right w:val="none" w:sz="0" w:space="0" w:color="000000"/>
              </w:pBdr>
              <w:spacing w:before="100" w:after="100"/>
              <w:ind w:left="100" w:right="100"/>
              <w:rPr>
                <w:rFonts w:ascii="Calibri" w:eastAsia="MS Mincho" w:hAnsi="Calibri" w:cs="Calibri"/>
                <w:color w:val="000000"/>
              </w:rPr>
            </w:pPr>
          </w:p>
        </w:tc>
        <w:tc>
          <w:tcPr>
            <w:tcW w:w="9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EE32B5"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rPr>
                <w:rFonts w:ascii="Calibri" w:eastAsia="MS Mincho" w:hAnsi="Calibri" w:cs="Calibri"/>
              </w:rPr>
            </w:pPr>
            <w:r w:rsidRPr="007869B9">
              <w:rPr>
                <w:rFonts w:ascii="Calibri" w:eastAsia="MS Mincho" w:hAnsi="Calibri" w:cs="Calibri"/>
                <w:color w:val="000000"/>
              </w:rPr>
              <w:t>2018</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1BEF72"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12.59</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BDA9E7"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14.05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2BD350"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13.34</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56A071"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11.72</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55FCFA"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11.23</w:t>
            </w:r>
          </w:p>
        </w:tc>
        <w:tc>
          <w:tcPr>
            <w:tcW w:w="129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D6A1D7"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12.89</w:t>
            </w:r>
          </w:p>
        </w:tc>
      </w:tr>
      <w:tr w:rsidR="007869B9" w:rsidRPr="007869B9" w14:paraId="79F7B736" w14:textId="77777777" w:rsidTr="00B85982">
        <w:trPr>
          <w:cantSplit/>
          <w:jc w:val="center"/>
        </w:trPr>
        <w:tc>
          <w:tcPr>
            <w:tcW w:w="1080" w:type="dxa"/>
            <w:vMerge/>
            <w:tcBorders>
              <w:left w:val="none" w:sz="0" w:space="0" w:color="000000"/>
              <w:right w:val="none" w:sz="0" w:space="0" w:color="000000"/>
            </w:tcBorders>
            <w:shd w:val="clear" w:color="auto" w:fill="FFFFFF"/>
          </w:tcPr>
          <w:p w14:paraId="129CE9DD" w14:textId="77777777" w:rsidR="007869B9" w:rsidRPr="007869B9" w:rsidRDefault="007869B9" w:rsidP="007869B9">
            <w:pPr>
              <w:keepNext/>
              <w:widowControl/>
              <w:pBdr>
                <w:top w:val="none" w:sz="0" w:space="0" w:color="000000"/>
                <w:left w:val="none" w:sz="0" w:space="0" w:color="000000"/>
                <w:bottom w:val="none" w:sz="0" w:space="0" w:color="000000"/>
                <w:right w:val="none" w:sz="0" w:space="0" w:color="000000"/>
              </w:pBdr>
              <w:spacing w:before="100" w:after="100"/>
              <w:ind w:left="100" w:right="100"/>
              <w:rPr>
                <w:rFonts w:ascii="Calibri" w:eastAsia="MS Mincho" w:hAnsi="Calibri" w:cs="Calibri"/>
                <w:color w:val="000000"/>
              </w:rPr>
            </w:pPr>
          </w:p>
        </w:tc>
        <w:tc>
          <w:tcPr>
            <w:tcW w:w="9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C47005"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rPr>
                <w:rFonts w:ascii="Calibri" w:eastAsia="MS Mincho" w:hAnsi="Calibri" w:cs="Calibri"/>
              </w:rPr>
            </w:pPr>
            <w:r w:rsidRPr="007869B9">
              <w:rPr>
                <w:rFonts w:ascii="Calibri" w:eastAsia="MS Mincho" w:hAnsi="Calibri" w:cs="Calibri"/>
                <w:color w:val="000000"/>
              </w:rPr>
              <w:t>2019</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0A3427"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13.35</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7F88D3"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19.44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B0B328"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13.94</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D601B1"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13.23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0B9607"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16.98</w:t>
            </w:r>
          </w:p>
        </w:tc>
        <w:tc>
          <w:tcPr>
            <w:tcW w:w="129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876343"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13.72</w:t>
            </w:r>
          </w:p>
        </w:tc>
      </w:tr>
      <w:tr w:rsidR="007869B9" w:rsidRPr="007869B9" w14:paraId="52627727" w14:textId="77777777" w:rsidTr="00B85982">
        <w:trPr>
          <w:cantSplit/>
          <w:jc w:val="center"/>
        </w:trPr>
        <w:tc>
          <w:tcPr>
            <w:tcW w:w="1080" w:type="dxa"/>
            <w:vMerge/>
            <w:tcBorders>
              <w:left w:val="none" w:sz="0" w:space="0" w:color="000000"/>
              <w:right w:val="none" w:sz="0" w:space="0" w:color="000000"/>
            </w:tcBorders>
            <w:shd w:val="clear" w:color="auto" w:fill="FFFFFF"/>
          </w:tcPr>
          <w:p w14:paraId="2F3C8376" w14:textId="77777777" w:rsidR="007869B9" w:rsidRPr="007869B9" w:rsidRDefault="007869B9" w:rsidP="007869B9">
            <w:pPr>
              <w:keepNext/>
              <w:widowControl/>
              <w:pBdr>
                <w:top w:val="none" w:sz="0" w:space="0" w:color="000000"/>
                <w:left w:val="none" w:sz="0" w:space="0" w:color="000000"/>
                <w:bottom w:val="none" w:sz="0" w:space="0" w:color="000000"/>
                <w:right w:val="none" w:sz="0" w:space="0" w:color="000000"/>
              </w:pBdr>
              <w:spacing w:before="100" w:after="100"/>
              <w:ind w:left="100" w:right="100"/>
              <w:rPr>
                <w:rFonts w:ascii="Calibri" w:eastAsia="MS Mincho" w:hAnsi="Calibri" w:cs="Calibri"/>
                <w:color w:val="000000"/>
              </w:rPr>
            </w:pPr>
          </w:p>
        </w:tc>
        <w:tc>
          <w:tcPr>
            <w:tcW w:w="9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8C0E9F"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rPr>
                <w:rFonts w:ascii="Calibri" w:eastAsia="MS Mincho" w:hAnsi="Calibri" w:cs="Calibri"/>
              </w:rPr>
            </w:pPr>
            <w:r w:rsidRPr="007869B9">
              <w:rPr>
                <w:rFonts w:ascii="Calibri" w:eastAsia="MS Mincho" w:hAnsi="Calibri" w:cs="Calibri"/>
                <w:color w:val="000000"/>
              </w:rPr>
              <w:t>2020</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19D1E9"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13.24</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96C3EB"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21.57</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E6D3FB"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15.23</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5F1435"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12.48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970ECC"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22.52</w:t>
            </w:r>
          </w:p>
        </w:tc>
        <w:tc>
          <w:tcPr>
            <w:tcW w:w="129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1F5DE8"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14.03</w:t>
            </w:r>
          </w:p>
        </w:tc>
      </w:tr>
      <w:tr w:rsidR="007869B9" w:rsidRPr="007869B9" w14:paraId="7BB7048C" w14:textId="77777777" w:rsidTr="00B85982">
        <w:trPr>
          <w:cantSplit/>
          <w:jc w:val="center"/>
        </w:trPr>
        <w:tc>
          <w:tcPr>
            <w:tcW w:w="1080" w:type="dxa"/>
            <w:vMerge/>
            <w:tcBorders>
              <w:left w:val="none" w:sz="0" w:space="0" w:color="000000"/>
              <w:bottom w:val="single" w:sz="4" w:space="0" w:color="auto"/>
              <w:right w:val="none" w:sz="0" w:space="0" w:color="000000"/>
            </w:tcBorders>
            <w:shd w:val="clear" w:color="auto" w:fill="FFFFFF"/>
          </w:tcPr>
          <w:p w14:paraId="26820642" w14:textId="77777777" w:rsidR="007869B9" w:rsidRPr="007869B9" w:rsidRDefault="007869B9" w:rsidP="007869B9">
            <w:pPr>
              <w:keepNext/>
              <w:widowControl/>
              <w:pBdr>
                <w:top w:val="none" w:sz="0" w:space="0" w:color="000000"/>
                <w:left w:val="none" w:sz="0" w:space="0" w:color="000000"/>
                <w:bottom w:val="none" w:sz="0" w:space="0" w:color="000000"/>
                <w:right w:val="none" w:sz="0" w:space="0" w:color="000000"/>
              </w:pBdr>
              <w:spacing w:before="100" w:after="100"/>
              <w:ind w:left="100" w:right="100"/>
              <w:rPr>
                <w:rFonts w:ascii="Calibri" w:eastAsia="MS Mincho" w:hAnsi="Calibri" w:cs="Calibri"/>
                <w:color w:val="000000"/>
              </w:rPr>
            </w:pPr>
          </w:p>
        </w:tc>
        <w:tc>
          <w:tcPr>
            <w:tcW w:w="954" w:type="dxa"/>
            <w:tcBorders>
              <w:top w:val="none" w:sz="0" w:space="0" w:color="000000"/>
              <w:left w:val="none" w:sz="0" w:space="0" w:color="000000"/>
              <w:bottom w:val="single" w:sz="4" w:space="0" w:color="auto"/>
              <w:right w:val="none" w:sz="0" w:space="0" w:color="000000"/>
            </w:tcBorders>
            <w:shd w:val="clear" w:color="auto" w:fill="FFFFFF"/>
            <w:tcMar>
              <w:top w:w="0" w:type="dxa"/>
              <w:left w:w="0" w:type="dxa"/>
              <w:bottom w:w="0" w:type="dxa"/>
              <w:right w:w="0" w:type="dxa"/>
            </w:tcMar>
            <w:vAlign w:val="center"/>
          </w:tcPr>
          <w:p w14:paraId="6536EBD0"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rPr>
                <w:rFonts w:ascii="Calibri" w:eastAsia="MS Mincho" w:hAnsi="Calibri" w:cs="Calibri"/>
              </w:rPr>
            </w:pPr>
            <w:r w:rsidRPr="007869B9">
              <w:rPr>
                <w:rFonts w:ascii="Calibri" w:eastAsia="MS Mincho" w:hAnsi="Calibri" w:cs="Calibri"/>
                <w:color w:val="000000"/>
              </w:rPr>
              <w:t>2021</w:t>
            </w:r>
          </w:p>
        </w:tc>
        <w:tc>
          <w:tcPr>
            <w:tcW w:w="990" w:type="dxa"/>
            <w:tcBorders>
              <w:top w:val="none" w:sz="0" w:space="0" w:color="000000"/>
              <w:left w:val="none" w:sz="0" w:space="0" w:color="000000"/>
              <w:bottom w:val="single" w:sz="4" w:space="0" w:color="auto"/>
              <w:right w:val="none" w:sz="0" w:space="0" w:color="000000"/>
            </w:tcBorders>
            <w:shd w:val="clear" w:color="auto" w:fill="FFFFFF"/>
            <w:tcMar>
              <w:top w:w="0" w:type="dxa"/>
              <w:left w:w="0" w:type="dxa"/>
              <w:bottom w:w="0" w:type="dxa"/>
              <w:right w:w="0" w:type="dxa"/>
            </w:tcMar>
            <w:vAlign w:val="center"/>
          </w:tcPr>
          <w:p w14:paraId="0701829A"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8.02</w:t>
            </w:r>
          </w:p>
        </w:tc>
        <w:tc>
          <w:tcPr>
            <w:tcW w:w="990" w:type="dxa"/>
            <w:tcBorders>
              <w:top w:val="none" w:sz="0" w:space="0" w:color="000000"/>
              <w:left w:val="none" w:sz="0" w:space="0" w:color="000000"/>
              <w:bottom w:val="single" w:sz="4" w:space="0" w:color="auto"/>
              <w:right w:val="none" w:sz="0" w:space="0" w:color="000000"/>
            </w:tcBorders>
            <w:shd w:val="clear" w:color="auto" w:fill="FFFFFF"/>
            <w:tcMar>
              <w:top w:w="0" w:type="dxa"/>
              <w:left w:w="0" w:type="dxa"/>
              <w:bottom w:w="0" w:type="dxa"/>
              <w:right w:w="0" w:type="dxa"/>
            </w:tcMar>
            <w:vAlign w:val="center"/>
          </w:tcPr>
          <w:p w14:paraId="5FFC00F8"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15.47</w:t>
            </w:r>
          </w:p>
        </w:tc>
        <w:tc>
          <w:tcPr>
            <w:tcW w:w="1080" w:type="dxa"/>
            <w:tcBorders>
              <w:top w:val="none" w:sz="0" w:space="0" w:color="000000"/>
              <w:left w:val="none" w:sz="0" w:space="0" w:color="000000"/>
              <w:bottom w:val="single" w:sz="4" w:space="0" w:color="auto"/>
              <w:right w:val="none" w:sz="0" w:space="0" w:color="000000"/>
            </w:tcBorders>
            <w:shd w:val="clear" w:color="auto" w:fill="FFFFFF"/>
            <w:tcMar>
              <w:top w:w="0" w:type="dxa"/>
              <w:left w:w="0" w:type="dxa"/>
              <w:bottom w:w="0" w:type="dxa"/>
              <w:right w:w="0" w:type="dxa"/>
            </w:tcMar>
            <w:vAlign w:val="center"/>
          </w:tcPr>
          <w:p w14:paraId="61BE1EAE"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9.99</w:t>
            </w:r>
          </w:p>
        </w:tc>
        <w:tc>
          <w:tcPr>
            <w:tcW w:w="1170" w:type="dxa"/>
            <w:tcBorders>
              <w:top w:val="none" w:sz="0" w:space="0" w:color="000000"/>
              <w:left w:val="none" w:sz="0" w:space="0" w:color="000000"/>
              <w:bottom w:val="single" w:sz="4" w:space="0" w:color="auto"/>
              <w:right w:val="none" w:sz="0" w:space="0" w:color="000000"/>
            </w:tcBorders>
            <w:shd w:val="clear" w:color="auto" w:fill="FFFFFF"/>
            <w:tcMar>
              <w:top w:w="0" w:type="dxa"/>
              <w:left w:w="0" w:type="dxa"/>
              <w:bottom w:w="0" w:type="dxa"/>
              <w:right w:w="0" w:type="dxa"/>
            </w:tcMar>
            <w:vAlign w:val="center"/>
          </w:tcPr>
          <w:p w14:paraId="55ABEB53"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9.49</w:t>
            </w:r>
          </w:p>
        </w:tc>
        <w:tc>
          <w:tcPr>
            <w:tcW w:w="1080" w:type="dxa"/>
            <w:tcBorders>
              <w:top w:val="none" w:sz="0" w:space="0" w:color="000000"/>
              <w:left w:val="none" w:sz="0" w:space="0" w:color="000000"/>
              <w:bottom w:val="single" w:sz="4" w:space="0" w:color="auto"/>
              <w:right w:val="none" w:sz="0" w:space="0" w:color="000000"/>
            </w:tcBorders>
            <w:shd w:val="clear" w:color="auto" w:fill="FFFFFF"/>
            <w:tcMar>
              <w:top w:w="0" w:type="dxa"/>
              <w:left w:w="0" w:type="dxa"/>
              <w:bottom w:w="0" w:type="dxa"/>
              <w:right w:w="0" w:type="dxa"/>
            </w:tcMar>
            <w:vAlign w:val="center"/>
          </w:tcPr>
          <w:p w14:paraId="3F6FC17E"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18.31</w:t>
            </w:r>
          </w:p>
        </w:tc>
        <w:tc>
          <w:tcPr>
            <w:tcW w:w="1296" w:type="dxa"/>
            <w:tcBorders>
              <w:top w:val="none" w:sz="0" w:space="0" w:color="000000"/>
              <w:left w:val="none" w:sz="0" w:space="0" w:color="000000"/>
              <w:bottom w:val="single" w:sz="4" w:space="0" w:color="auto"/>
              <w:right w:val="none" w:sz="0" w:space="0" w:color="000000"/>
            </w:tcBorders>
            <w:shd w:val="clear" w:color="auto" w:fill="FFFFFF"/>
            <w:tcMar>
              <w:top w:w="0" w:type="dxa"/>
              <w:left w:w="0" w:type="dxa"/>
              <w:bottom w:w="0" w:type="dxa"/>
              <w:right w:w="0" w:type="dxa"/>
            </w:tcMar>
            <w:vAlign w:val="center"/>
          </w:tcPr>
          <w:p w14:paraId="3D5EDFA8"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9.45</w:t>
            </w:r>
          </w:p>
        </w:tc>
      </w:tr>
      <w:tr w:rsidR="007869B9" w:rsidRPr="007869B9" w14:paraId="2236AD4E" w14:textId="77777777" w:rsidTr="00B85982">
        <w:trPr>
          <w:cantSplit/>
          <w:jc w:val="center"/>
        </w:trPr>
        <w:tc>
          <w:tcPr>
            <w:tcW w:w="1080" w:type="dxa"/>
            <w:vMerge w:val="restart"/>
            <w:tcBorders>
              <w:top w:val="single" w:sz="4" w:space="0" w:color="auto"/>
              <w:left w:val="none" w:sz="0" w:space="0" w:color="000000"/>
              <w:right w:val="none" w:sz="0" w:space="0" w:color="000000"/>
            </w:tcBorders>
            <w:shd w:val="clear" w:color="auto" w:fill="FFFFFF"/>
            <w:vAlign w:val="center"/>
          </w:tcPr>
          <w:p w14:paraId="37366ADE" w14:textId="77777777" w:rsidR="007869B9" w:rsidRPr="007869B9" w:rsidRDefault="007869B9" w:rsidP="007869B9">
            <w:pPr>
              <w:keepNext/>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Calibri" w:eastAsia="MS Mincho" w:hAnsi="Calibri" w:cs="Calibri"/>
                <w:color w:val="000000"/>
              </w:rPr>
            </w:pPr>
            <w:r w:rsidRPr="007869B9">
              <w:rPr>
                <w:rFonts w:ascii="Calibri" w:eastAsia="MS Mincho" w:hAnsi="Calibri" w:cs="Calibri"/>
                <w:color w:val="000000"/>
              </w:rPr>
              <w:t>Sex</w:t>
            </w:r>
          </w:p>
        </w:tc>
        <w:tc>
          <w:tcPr>
            <w:tcW w:w="954" w:type="dxa"/>
            <w:tcBorders>
              <w:top w:val="single" w:sz="4" w:space="0" w:color="auto"/>
              <w:left w:val="none" w:sz="0" w:space="0" w:color="000000"/>
              <w:right w:val="none" w:sz="0" w:space="0" w:color="000000"/>
            </w:tcBorders>
            <w:shd w:val="clear" w:color="auto" w:fill="FFFFFF"/>
            <w:tcMar>
              <w:top w:w="0" w:type="dxa"/>
              <w:left w:w="0" w:type="dxa"/>
              <w:bottom w:w="0" w:type="dxa"/>
              <w:right w:w="0" w:type="dxa"/>
            </w:tcMar>
            <w:vAlign w:val="center"/>
          </w:tcPr>
          <w:p w14:paraId="3DAE91CD"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rPr>
                <w:rFonts w:ascii="Calibri" w:eastAsia="MS Mincho" w:hAnsi="Calibri" w:cs="Calibri"/>
              </w:rPr>
            </w:pPr>
            <w:r w:rsidRPr="007869B9">
              <w:rPr>
                <w:rFonts w:ascii="Calibri" w:eastAsia="MS Mincho" w:hAnsi="Calibri" w:cs="Calibri"/>
                <w:color w:val="000000"/>
              </w:rPr>
              <w:t>FEMALE</w:t>
            </w:r>
          </w:p>
        </w:tc>
        <w:tc>
          <w:tcPr>
            <w:tcW w:w="990" w:type="dxa"/>
            <w:tcBorders>
              <w:top w:val="single" w:sz="4" w:space="0" w:color="auto"/>
              <w:left w:val="none" w:sz="0" w:space="0" w:color="000000"/>
              <w:right w:val="none" w:sz="0" w:space="0" w:color="000000"/>
            </w:tcBorders>
            <w:shd w:val="clear" w:color="auto" w:fill="FFFFFF"/>
            <w:tcMar>
              <w:top w:w="0" w:type="dxa"/>
              <w:left w:w="0" w:type="dxa"/>
              <w:bottom w:w="0" w:type="dxa"/>
              <w:right w:w="0" w:type="dxa"/>
            </w:tcMar>
            <w:vAlign w:val="center"/>
          </w:tcPr>
          <w:p w14:paraId="6D1C466D"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50.63</w:t>
            </w:r>
          </w:p>
        </w:tc>
        <w:tc>
          <w:tcPr>
            <w:tcW w:w="990" w:type="dxa"/>
            <w:tcBorders>
              <w:top w:val="single" w:sz="4" w:space="0" w:color="auto"/>
              <w:left w:val="none" w:sz="0" w:space="0" w:color="000000"/>
              <w:right w:val="none" w:sz="0" w:space="0" w:color="000000"/>
            </w:tcBorders>
            <w:shd w:val="clear" w:color="auto" w:fill="FFFFFF"/>
            <w:tcMar>
              <w:top w:w="0" w:type="dxa"/>
              <w:left w:w="0" w:type="dxa"/>
              <w:bottom w:w="0" w:type="dxa"/>
              <w:right w:w="0" w:type="dxa"/>
            </w:tcMar>
            <w:vAlign w:val="center"/>
          </w:tcPr>
          <w:p w14:paraId="70C6C572"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50.73</w:t>
            </w:r>
          </w:p>
        </w:tc>
        <w:tc>
          <w:tcPr>
            <w:tcW w:w="1080" w:type="dxa"/>
            <w:tcBorders>
              <w:top w:val="single" w:sz="4" w:space="0" w:color="auto"/>
              <w:left w:val="none" w:sz="0" w:space="0" w:color="000000"/>
              <w:right w:val="none" w:sz="0" w:space="0" w:color="000000"/>
            </w:tcBorders>
            <w:shd w:val="clear" w:color="auto" w:fill="FFFFFF"/>
            <w:tcMar>
              <w:top w:w="0" w:type="dxa"/>
              <w:left w:w="0" w:type="dxa"/>
              <w:bottom w:w="0" w:type="dxa"/>
              <w:right w:w="0" w:type="dxa"/>
            </w:tcMar>
            <w:vAlign w:val="center"/>
          </w:tcPr>
          <w:p w14:paraId="14919E61"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48.03</w:t>
            </w:r>
          </w:p>
        </w:tc>
        <w:tc>
          <w:tcPr>
            <w:tcW w:w="1170" w:type="dxa"/>
            <w:tcBorders>
              <w:top w:val="single" w:sz="4" w:space="0" w:color="auto"/>
              <w:left w:val="none" w:sz="0" w:space="0" w:color="000000"/>
              <w:right w:val="none" w:sz="0" w:space="0" w:color="000000"/>
            </w:tcBorders>
            <w:shd w:val="clear" w:color="auto" w:fill="FFFFFF"/>
            <w:tcMar>
              <w:top w:w="0" w:type="dxa"/>
              <w:left w:w="0" w:type="dxa"/>
              <w:bottom w:w="0" w:type="dxa"/>
              <w:right w:w="0" w:type="dxa"/>
            </w:tcMar>
            <w:vAlign w:val="center"/>
          </w:tcPr>
          <w:p w14:paraId="31759B5F"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49.56</w:t>
            </w:r>
          </w:p>
        </w:tc>
        <w:tc>
          <w:tcPr>
            <w:tcW w:w="1080" w:type="dxa"/>
            <w:tcBorders>
              <w:top w:val="single" w:sz="4" w:space="0" w:color="auto"/>
              <w:left w:val="none" w:sz="0" w:space="0" w:color="000000"/>
              <w:right w:val="none" w:sz="0" w:space="0" w:color="000000"/>
            </w:tcBorders>
            <w:shd w:val="clear" w:color="auto" w:fill="FFFFFF"/>
            <w:tcMar>
              <w:top w:w="0" w:type="dxa"/>
              <w:left w:w="0" w:type="dxa"/>
              <w:bottom w:w="0" w:type="dxa"/>
              <w:right w:w="0" w:type="dxa"/>
            </w:tcMar>
            <w:vAlign w:val="center"/>
          </w:tcPr>
          <w:p w14:paraId="07D664D4"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44.41</w:t>
            </w:r>
          </w:p>
        </w:tc>
        <w:tc>
          <w:tcPr>
            <w:tcW w:w="1296" w:type="dxa"/>
            <w:tcBorders>
              <w:top w:val="single" w:sz="4" w:space="0" w:color="auto"/>
              <w:left w:val="none" w:sz="0" w:space="0" w:color="000000"/>
              <w:right w:val="none" w:sz="0" w:space="0" w:color="000000"/>
            </w:tcBorders>
            <w:shd w:val="clear" w:color="auto" w:fill="FFFFFF"/>
            <w:tcMar>
              <w:top w:w="0" w:type="dxa"/>
              <w:left w:w="0" w:type="dxa"/>
              <w:bottom w:w="0" w:type="dxa"/>
              <w:right w:w="0" w:type="dxa"/>
            </w:tcMar>
            <w:vAlign w:val="center"/>
          </w:tcPr>
          <w:p w14:paraId="46E6E046"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47.97</w:t>
            </w:r>
          </w:p>
        </w:tc>
      </w:tr>
      <w:tr w:rsidR="007869B9" w:rsidRPr="007869B9" w14:paraId="6F2C8E23" w14:textId="77777777" w:rsidTr="00B85982">
        <w:trPr>
          <w:cantSplit/>
          <w:jc w:val="center"/>
        </w:trPr>
        <w:tc>
          <w:tcPr>
            <w:tcW w:w="1080" w:type="dxa"/>
            <w:vMerge/>
            <w:tcBorders>
              <w:left w:val="none" w:sz="0" w:space="0" w:color="000000"/>
              <w:bottom w:val="none" w:sz="0" w:space="0" w:color="000000"/>
              <w:right w:val="none" w:sz="0" w:space="0" w:color="000000"/>
            </w:tcBorders>
            <w:shd w:val="clear" w:color="auto" w:fill="FFFFFF"/>
          </w:tcPr>
          <w:p w14:paraId="26A354F1" w14:textId="77777777" w:rsidR="007869B9" w:rsidRPr="007869B9" w:rsidRDefault="007869B9" w:rsidP="007869B9">
            <w:pPr>
              <w:keepNext/>
              <w:widowControl/>
              <w:pBdr>
                <w:top w:val="none" w:sz="0" w:space="0" w:color="000000"/>
                <w:left w:val="none" w:sz="0" w:space="0" w:color="000000"/>
                <w:bottom w:val="none" w:sz="0" w:space="0" w:color="000000"/>
                <w:right w:val="none" w:sz="0" w:space="0" w:color="000000"/>
              </w:pBdr>
              <w:spacing w:before="100" w:after="100"/>
              <w:ind w:left="100" w:right="100"/>
              <w:rPr>
                <w:rFonts w:ascii="Calibri" w:eastAsia="MS Mincho" w:hAnsi="Calibri" w:cs="Calibri"/>
                <w:color w:val="000000"/>
              </w:rPr>
            </w:pPr>
          </w:p>
        </w:tc>
        <w:tc>
          <w:tcPr>
            <w:tcW w:w="954" w:type="dxa"/>
            <w:tcBorders>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FE5F97"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rPr>
                <w:rFonts w:ascii="Calibri" w:eastAsia="MS Mincho" w:hAnsi="Calibri" w:cs="Calibri"/>
              </w:rPr>
            </w:pPr>
            <w:r w:rsidRPr="007869B9">
              <w:rPr>
                <w:rFonts w:ascii="Calibri" w:eastAsia="MS Mincho" w:hAnsi="Calibri" w:cs="Calibri"/>
                <w:color w:val="000000"/>
              </w:rPr>
              <w:t>MALE</w:t>
            </w:r>
          </w:p>
        </w:tc>
        <w:tc>
          <w:tcPr>
            <w:tcW w:w="990" w:type="dxa"/>
            <w:tcBorders>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A60CFB"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49.37</w:t>
            </w:r>
          </w:p>
        </w:tc>
        <w:tc>
          <w:tcPr>
            <w:tcW w:w="990" w:type="dxa"/>
            <w:tcBorders>
              <w:left w:val="none" w:sz="0" w:space="0" w:color="000000"/>
              <w:right w:val="none" w:sz="0" w:space="0" w:color="000000"/>
            </w:tcBorders>
            <w:shd w:val="clear" w:color="auto" w:fill="FFFFFF"/>
            <w:tcMar>
              <w:top w:w="0" w:type="dxa"/>
              <w:left w:w="0" w:type="dxa"/>
              <w:bottom w:w="0" w:type="dxa"/>
              <w:right w:w="0" w:type="dxa"/>
            </w:tcMar>
            <w:vAlign w:val="center"/>
          </w:tcPr>
          <w:p w14:paraId="244CCCF5"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49.27</w:t>
            </w:r>
          </w:p>
        </w:tc>
        <w:tc>
          <w:tcPr>
            <w:tcW w:w="1080" w:type="dxa"/>
            <w:tcBorders>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5F8954"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51.97</w:t>
            </w:r>
          </w:p>
        </w:tc>
        <w:tc>
          <w:tcPr>
            <w:tcW w:w="1170" w:type="dxa"/>
            <w:tcBorders>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242971"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50.44</w:t>
            </w:r>
          </w:p>
        </w:tc>
        <w:tc>
          <w:tcPr>
            <w:tcW w:w="1080" w:type="dxa"/>
            <w:tcBorders>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56AA4B"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55.59</w:t>
            </w:r>
          </w:p>
        </w:tc>
        <w:tc>
          <w:tcPr>
            <w:tcW w:w="1296" w:type="dxa"/>
            <w:tcBorders>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CFDBB6"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52.03</w:t>
            </w:r>
          </w:p>
        </w:tc>
      </w:tr>
      <w:tr w:rsidR="007869B9" w:rsidRPr="007869B9" w14:paraId="74A93997" w14:textId="77777777" w:rsidTr="00B85982">
        <w:trPr>
          <w:cantSplit/>
          <w:jc w:val="center"/>
        </w:trPr>
        <w:tc>
          <w:tcPr>
            <w:tcW w:w="1080" w:type="dxa"/>
            <w:vMerge w:val="restart"/>
            <w:tcBorders>
              <w:top w:val="single" w:sz="4" w:space="0" w:color="auto"/>
              <w:left w:val="none" w:sz="0" w:space="0" w:color="000000"/>
              <w:right w:val="none" w:sz="0" w:space="0" w:color="000000"/>
            </w:tcBorders>
            <w:shd w:val="clear" w:color="auto" w:fill="FFFFFF"/>
            <w:vAlign w:val="center"/>
          </w:tcPr>
          <w:p w14:paraId="1B55B753" w14:textId="77777777" w:rsidR="007869B9" w:rsidRPr="007869B9" w:rsidRDefault="007869B9" w:rsidP="007869B9">
            <w:pPr>
              <w:keepNext/>
              <w:widowControl/>
              <w:pBdr>
                <w:top w:val="none" w:sz="0" w:space="0" w:color="000000"/>
                <w:left w:val="none" w:sz="0" w:space="0" w:color="000000"/>
                <w:bottom w:val="none" w:sz="0" w:space="0" w:color="000000"/>
                <w:right w:val="none" w:sz="0" w:space="0" w:color="000000"/>
              </w:pBdr>
              <w:spacing w:before="100" w:after="100"/>
              <w:ind w:left="100" w:right="100"/>
              <w:jc w:val="center"/>
              <w:rPr>
                <w:rFonts w:ascii="Calibri" w:eastAsia="MS Mincho" w:hAnsi="Calibri" w:cs="Calibri"/>
                <w:color w:val="000000"/>
              </w:rPr>
            </w:pPr>
            <w:r w:rsidRPr="007869B9">
              <w:rPr>
                <w:rFonts w:ascii="Calibri" w:eastAsia="MS Mincho" w:hAnsi="Calibri" w:cs="Calibri"/>
                <w:color w:val="000000"/>
              </w:rPr>
              <w:t>Race</w:t>
            </w:r>
          </w:p>
        </w:tc>
        <w:tc>
          <w:tcPr>
            <w:tcW w:w="954" w:type="dxa"/>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66A020"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rPr>
                <w:rFonts w:ascii="Calibri" w:eastAsia="MS Mincho" w:hAnsi="Calibri" w:cs="Calibri"/>
              </w:rPr>
            </w:pPr>
            <w:r w:rsidRPr="007869B9">
              <w:rPr>
                <w:rFonts w:ascii="Calibri" w:eastAsia="MS Mincho" w:hAnsi="Calibri" w:cs="Calibri"/>
                <w:color w:val="000000"/>
              </w:rPr>
              <w:t>Asian</w:t>
            </w:r>
          </w:p>
        </w:tc>
        <w:tc>
          <w:tcPr>
            <w:tcW w:w="990" w:type="dxa"/>
            <w:tcBorders>
              <w:top w:val="single" w:sz="4" w:space="0" w:color="auto"/>
              <w:left w:val="none" w:sz="0" w:space="0" w:color="000000"/>
              <w:bottom w:val="none" w:sz="0" w:space="0" w:color="000000"/>
            </w:tcBorders>
            <w:shd w:val="clear" w:color="auto" w:fill="FFFFFF"/>
            <w:tcMar>
              <w:top w:w="0" w:type="dxa"/>
              <w:left w:w="0" w:type="dxa"/>
              <w:bottom w:w="0" w:type="dxa"/>
              <w:right w:w="0" w:type="dxa"/>
            </w:tcMar>
            <w:vAlign w:val="center"/>
          </w:tcPr>
          <w:p w14:paraId="7619D592"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5.43</w:t>
            </w:r>
          </w:p>
        </w:tc>
        <w:tc>
          <w:tcPr>
            <w:tcW w:w="990" w:type="dxa"/>
            <w:tcBorders>
              <w:top w:val="single" w:sz="4" w:space="0" w:color="auto"/>
            </w:tcBorders>
            <w:shd w:val="clear" w:color="auto" w:fill="FFFFFF"/>
            <w:tcMar>
              <w:top w:w="0" w:type="dxa"/>
              <w:left w:w="0" w:type="dxa"/>
              <w:bottom w:w="0" w:type="dxa"/>
              <w:right w:w="0" w:type="dxa"/>
            </w:tcMar>
            <w:vAlign w:val="center"/>
          </w:tcPr>
          <w:p w14:paraId="58233C19" w14:textId="77777777" w:rsidR="007869B9" w:rsidRPr="007869B9" w:rsidRDefault="007869B9" w:rsidP="00EE1539">
            <w:pPr>
              <w:keepNext/>
              <w:widowControl/>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3.31</w:t>
            </w:r>
          </w:p>
        </w:tc>
        <w:tc>
          <w:tcPr>
            <w:tcW w:w="1080" w:type="dxa"/>
            <w:tcBorders>
              <w:top w:val="single" w:sz="4" w:space="0" w:color="auto"/>
              <w:left w:val="nil"/>
              <w:bottom w:val="none" w:sz="0" w:space="0" w:color="000000"/>
              <w:right w:val="none" w:sz="0" w:space="0" w:color="000000"/>
            </w:tcBorders>
            <w:shd w:val="clear" w:color="auto" w:fill="FFFFFF"/>
            <w:tcMar>
              <w:top w:w="0" w:type="dxa"/>
              <w:left w:w="0" w:type="dxa"/>
              <w:bottom w:w="0" w:type="dxa"/>
              <w:right w:w="0" w:type="dxa"/>
            </w:tcMar>
            <w:vAlign w:val="center"/>
          </w:tcPr>
          <w:p w14:paraId="5AC560E0"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3.37</w:t>
            </w:r>
          </w:p>
        </w:tc>
        <w:tc>
          <w:tcPr>
            <w:tcW w:w="1170" w:type="dxa"/>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224A63"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4.77</w:t>
            </w:r>
          </w:p>
        </w:tc>
        <w:tc>
          <w:tcPr>
            <w:tcW w:w="1080" w:type="dxa"/>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8CB012"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5.37</w:t>
            </w:r>
          </w:p>
        </w:tc>
        <w:tc>
          <w:tcPr>
            <w:tcW w:w="1296" w:type="dxa"/>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4BA942"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4.36</w:t>
            </w:r>
          </w:p>
        </w:tc>
      </w:tr>
      <w:tr w:rsidR="007869B9" w:rsidRPr="007869B9" w14:paraId="4952E05E" w14:textId="77777777" w:rsidTr="00B85982">
        <w:trPr>
          <w:cantSplit/>
          <w:jc w:val="center"/>
        </w:trPr>
        <w:tc>
          <w:tcPr>
            <w:tcW w:w="1080" w:type="dxa"/>
            <w:vMerge/>
            <w:tcBorders>
              <w:left w:val="none" w:sz="0" w:space="0" w:color="000000"/>
              <w:right w:val="none" w:sz="0" w:space="0" w:color="000000"/>
            </w:tcBorders>
            <w:shd w:val="clear" w:color="auto" w:fill="FFFFFF"/>
          </w:tcPr>
          <w:p w14:paraId="1B135649" w14:textId="77777777" w:rsidR="007869B9" w:rsidRPr="007869B9" w:rsidRDefault="007869B9" w:rsidP="007869B9">
            <w:pPr>
              <w:keepNext/>
              <w:widowControl/>
              <w:pBdr>
                <w:top w:val="none" w:sz="0" w:space="0" w:color="000000"/>
                <w:left w:val="none" w:sz="0" w:space="0" w:color="000000"/>
                <w:bottom w:val="none" w:sz="0" w:space="0" w:color="000000"/>
                <w:right w:val="none" w:sz="0" w:space="0" w:color="000000"/>
              </w:pBdr>
              <w:spacing w:before="100" w:after="100"/>
              <w:ind w:left="100" w:right="100"/>
              <w:rPr>
                <w:rFonts w:ascii="Calibri" w:eastAsia="MS Mincho" w:hAnsi="Calibri" w:cs="Calibri"/>
                <w:color w:val="000000"/>
              </w:rPr>
            </w:pPr>
          </w:p>
        </w:tc>
        <w:tc>
          <w:tcPr>
            <w:tcW w:w="95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E1EEE2"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rPr>
                <w:rFonts w:ascii="Calibri" w:eastAsia="MS Mincho" w:hAnsi="Calibri" w:cs="Calibri"/>
              </w:rPr>
            </w:pPr>
            <w:r w:rsidRPr="007869B9">
              <w:rPr>
                <w:rFonts w:ascii="Calibri" w:eastAsia="MS Mincho" w:hAnsi="Calibri" w:cs="Calibri"/>
                <w:color w:val="000000"/>
              </w:rPr>
              <w:t>Black</w:t>
            </w:r>
          </w:p>
        </w:tc>
        <w:tc>
          <w:tcPr>
            <w:tcW w:w="9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962F11"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16.29</w:t>
            </w:r>
          </w:p>
        </w:tc>
        <w:tc>
          <w:tcPr>
            <w:tcW w:w="990" w:type="dxa"/>
            <w:tcBorders>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986649"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15.84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98C075"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15.87</w:t>
            </w:r>
          </w:p>
        </w:tc>
        <w:tc>
          <w:tcPr>
            <w:tcW w:w="11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1C1C59"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15.38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787174"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14.94</w:t>
            </w:r>
          </w:p>
        </w:tc>
        <w:tc>
          <w:tcPr>
            <w:tcW w:w="129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A530ED"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14.77</w:t>
            </w:r>
          </w:p>
        </w:tc>
      </w:tr>
      <w:tr w:rsidR="007869B9" w:rsidRPr="007869B9" w14:paraId="5859DFE3" w14:textId="77777777" w:rsidTr="00B85982">
        <w:trPr>
          <w:cantSplit/>
          <w:jc w:val="center"/>
        </w:trPr>
        <w:tc>
          <w:tcPr>
            <w:tcW w:w="1080" w:type="dxa"/>
            <w:vMerge/>
            <w:tcBorders>
              <w:left w:val="none" w:sz="0" w:space="0" w:color="000000"/>
              <w:bottom w:val="single" w:sz="4" w:space="0" w:color="auto"/>
              <w:right w:val="none" w:sz="0" w:space="0" w:color="000000"/>
            </w:tcBorders>
            <w:shd w:val="clear" w:color="auto" w:fill="FFFFFF"/>
          </w:tcPr>
          <w:p w14:paraId="0B76620C" w14:textId="77777777" w:rsidR="007869B9" w:rsidRPr="007869B9" w:rsidRDefault="007869B9" w:rsidP="007869B9">
            <w:pPr>
              <w:keepNext/>
              <w:widowControl/>
              <w:pBdr>
                <w:top w:val="none" w:sz="0" w:space="0" w:color="000000"/>
                <w:left w:val="none" w:sz="0" w:space="0" w:color="000000"/>
                <w:bottom w:val="none" w:sz="0" w:space="0" w:color="000000"/>
                <w:right w:val="none" w:sz="0" w:space="0" w:color="000000"/>
              </w:pBdr>
              <w:spacing w:before="100" w:after="100"/>
              <w:ind w:left="100" w:right="100"/>
              <w:rPr>
                <w:rFonts w:ascii="Calibri" w:eastAsia="MS Mincho" w:hAnsi="Calibri" w:cs="Calibri"/>
                <w:color w:val="000000"/>
              </w:rPr>
            </w:pPr>
          </w:p>
        </w:tc>
        <w:tc>
          <w:tcPr>
            <w:tcW w:w="954" w:type="dxa"/>
            <w:tcBorders>
              <w:top w:val="none" w:sz="0" w:space="0" w:color="000000"/>
              <w:left w:val="none" w:sz="0" w:space="0" w:color="000000"/>
              <w:bottom w:val="single" w:sz="4" w:space="0" w:color="auto"/>
              <w:right w:val="none" w:sz="0" w:space="0" w:color="000000"/>
            </w:tcBorders>
            <w:shd w:val="clear" w:color="auto" w:fill="FFFFFF"/>
            <w:tcMar>
              <w:top w:w="0" w:type="dxa"/>
              <w:left w:w="0" w:type="dxa"/>
              <w:bottom w:w="0" w:type="dxa"/>
              <w:right w:w="0" w:type="dxa"/>
            </w:tcMar>
            <w:vAlign w:val="center"/>
          </w:tcPr>
          <w:p w14:paraId="579C2F6A"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rPr>
                <w:rFonts w:ascii="Calibri" w:eastAsia="MS Mincho" w:hAnsi="Calibri" w:cs="Calibri"/>
              </w:rPr>
            </w:pPr>
            <w:r w:rsidRPr="007869B9">
              <w:rPr>
                <w:rFonts w:ascii="Calibri" w:eastAsia="MS Mincho" w:hAnsi="Calibri" w:cs="Calibri"/>
                <w:color w:val="000000"/>
              </w:rPr>
              <w:t>White</w:t>
            </w:r>
          </w:p>
        </w:tc>
        <w:tc>
          <w:tcPr>
            <w:tcW w:w="990" w:type="dxa"/>
            <w:tcBorders>
              <w:top w:val="none" w:sz="0" w:space="0" w:color="000000"/>
              <w:left w:val="none" w:sz="0" w:space="0" w:color="000000"/>
              <w:bottom w:val="single" w:sz="4" w:space="0" w:color="auto"/>
              <w:right w:val="none" w:sz="0" w:space="0" w:color="000000"/>
            </w:tcBorders>
            <w:shd w:val="clear" w:color="auto" w:fill="FFFFFF"/>
            <w:tcMar>
              <w:top w:w="0" w:type="dxa"/>
              <w:left w:w="0" w:type="dxa"/>
              <w:bottom w:w="0" w:type="dxa"/>
              <w:right w:w="0" w:type="dxa"/>
            </w:tcMar>
            <w:vAlign w:val="center"/>
          </w:tcPr>
          <w:p w14:paraId="1DD3D32C"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54.09</w:t>
            </w:r>
          </w:p>
        </w:tc>
        <w:tc>
          <w:tcPr>
            <w:tcW w:w="990" w:type="dxa"/>
            <w:tcBorders>
              <w:top w:val="none" w:sz="0" w:space="0" w:color="000000"/>
              <w:left w:val="none" w:sz="0" w:space="0" w:color="000000"/>
              <w:bottom w:val="single" w:sz="4" w:space="0" w:color="auto"/>
              <w:right w:val="none" w:sz="0" w:space="0" w:color="000000"/>
            </w:tcBorders>
            <w:shd w:val="clear" w:color="auto" w:fill="FFFFFF"/>
            <w:tcMar>
              <w:top w:w="0" w:type="dxa"/>
              <w:left w:w="0" w:type="dxa"/>
              <w:bottom w:w="0" w:type="dxa"/>
              <w:right w:w="0" w:type="dxa"/>
            </w:tcMar>
            <w:vAlign w:val="center"/>
          </w:tcPr>
          <w:p w14:paraId="6258F468"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58.27</w:t>
            </w:r>
          </w:p>
        </w:tc>
        <w:tc>
          <w:tcPr>
            <w:tcW w:w="1080" w:type="dxa"/>
            <w:tcBorders>
              <w:top w:val="none" w:sz="0" w:space="0" w:color="000000"/>
              <w:left w:val="none" w:sz="0" w:space="0" w:color="000000"/>
              <w:bottom w:val="single" w:sz="4" w:space="0" w:color="auto"/>
              <w:right w:val="none" w:sz="0" w:space="0" w:color="000000"/>
            </w:tcBorders>
            <w:shd w:val="clear" w:color="auto" w:fill="FFFFFF"/>
            <w:tcMar>
              <w:top w:w="0" w:type="dxa"/>
              <w:left w:w="0" w:type="dxa"/>
              <w:bottom w:w="0" w:type="dxa"/>
              <w:right w:w="0" w:type="dxa"/>
            </w:tcMar>
            <w:vAlign w:val="center"/>
          </w:tcPr>
          <w:p w14:paraId="09A5272E"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58.68</w:t>
            </w:r>
          </w:p>
        </w:tc>
        <w:tc>
          <w:tcPr>
            <w:tcW w:w="1170" w:type="dxa"/>
            <w:tcBorders>
              <w:top w:val="none" w:sz="0" w:space="0" w:color="000000"/>
              <w:left w:val="none" w:sz="0" w:space="0" w:color="000000"/>
              <w:bottom w:val="single" w:sz="4" w:space="0" w:color="auto"/>
              <w:right w:val="none" w:sz="0" w:space="0" w:color="000000"/>
            </w:tcBorders>
            <w:shd w:val="clear" w:color="auto" w:fill="FFFFFF"/>
            <w:tcMar>
              <w:top w:w="0" w:type="dxa"/>
              <w:left w:w="0" w:type="dxa"/>
              <w:bottom w:w="0" w:type="dxa"/>
              <w:right w:w="0" w:type="dxa"/>
            </w:tcMar>
            <w:vAlign w:val="center"/>
          </w:tcPr>
          <w:p w14:paraId="1FDCCAAF"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58.95</w:t>
            </w:r>
          </w:p>
        </w:tc>
        <w:tc>
          <w:tcPr>
            <w:tcW w:w="1080" w:type="dxa"/>
            <w:tcBorders>
              <w:top w:val="none" w:sz="0" w:space="0" w:color="000000"/>
              <w:left w:val="none" w:sz="0" w:space="0" w:color="000000"/>
              <w:bottom w:val="single" w:sz="4" w:space="0" w:color="auto"/>
              <w:right w:val="none" w:sz="0" w:space="0" w:color="000000"/>
            </w:tcBorders>
            <w:shd w:val="clear" w:color="auto" w:fill="FFFFFF"/>
            <w:tcMar>
              <w:top w:w="0" w:type="dxa"/>
              <w:left w:w="0" w:type="dxa"/>
              <w:bottom w:w="0" w:type="dxa"/>
              <w:right w:w="0" w:type="dxa"/>
            </w:tcMar>
            <w:vAlign w:val="center"/>
          </w:tcPr>
          <w:p w14:paraId="74584D2D"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55.96</w:t>
            </w:r>
          </w:p>
        </w:tc>
        <w:tc>
          <w:tcPr>
            <w:tcW w:w="1296" w:type="dxa"/>
            <w:tcBorders>
              <w:top w:val="none" w:sz="0" w:space="0" w:color="000000"/>
              <w:left w:val="none" w:sz="0" w:space="0" w:color="000000"/>
              <w:bottom w:val="single" w:sz="4" w:space="0" w:color="auto"/>
              <w:right w:val="none" w:sz="0" w:space="0" w:color="000000"/>
            </w:tcBorders>
            <w:shd w:val="clear" w:color="auto" w:fill="FFFFFF"/>
            <w:tcMar>
              <w:top w:w="0" w:type="dxa"/>
              <w:left w:w="0" w:type="dxa"/>
              <w:bottom w:w="0" w:type="dxa"/>
              <w:right w:w="0" w:type="dxa"/>
            </w:tcMar>
            <w:vAlign w:val="center"/>
          </w:tcPr>
          <w:p w14:paraId="7A959AA0" w14:textId="77777777" w:rsidR="007869B9" w:rsidRPr="007869B9" w:rsidRDefault="007869B9" w:rsidP="00EE1539">
            <w:pPr>
              <w:keepNext/>
              <w:widowControl/>
              <w:pBdr>
                <w:top w:val="none" w:sz="0" w:space="0" w:color="000000"/>
                <w:left w:val="none" w:sz="0" w:space="0" w:color="000000"/>
                <w:bottom w:val="none" w:sz="0" w:space="0" w:color="000000"/>
                <w:right w:val="none" w:sz="0" w:space="0" w:color="000000"/>
              </w:pBdr>
              <w:spacing w:beforeLines="20" w:before="48" w:afterLines="20" w:after="48"/>
              <w:ind w:left="100" w:right="100"/>
              <w:jc w:val="right"/>
              <w:rPr>
                <w:rFonts w:ascii="Calibri" w:eastAsia="MS Mincho" w:hAnsi="Calibri" w:cs="Calibri"/>
              </w:rPr>
            </w:pPr>
            <w:r w:rsidRPr="007869B9">
              <w:rPr>
                <w:rFonts w:ascii="Calibri" w:eastAsia="MS Mincho" w:hAnsi="Calibri" w:cs="Calibri"/>
                <w:color w:val="000000"/>
              </w:rPr>
              <w:t>58.52</w:t>
            </w:r>
          </w:p>
        </w:tc>
      </w:tr>
    </w:tbl>
    <w:p w14:paraId="38EC463B" w14:textId="4B170971" w:rsidR="007869B9" w:rsidRDefault="007869B9">
      <w:pPr>
        <w:pBdr>
          <w:top w:val="nil"/>
          <w:left w:val="nil"/>
          <w:bottom w:val="nil"/>
          <w:right w:val="nil"/>
          <w:between w:val="nil"/>
        </w:pBdr>
        <w:spacing w:after="120"/>
        <w:jc w:val="both"/>
        <w:rPr>
          <w:rFonts w:ascii="Calibri" w:eastAsia="Calibri" w:hAnsi="Calibri" w:cs="Calibri"/>
          <w:b/>
          <w:sz w:val="22"/>
          <w:szCs w:val="22"/>
        </w:rPr>
      </w:pPr>
    </w:p>
    <w:p w14:paraId="1D8693ED" w14:textId="77777777" w:rsidR="00EE1539" w:rsidRDefault="00EE1539">
      <w:pPr>
        <w:rPr>
          <w:rFonts w:ascii="Calibri" w:eastAsia="Calibri" w:hAnsi="Calibri" w:cs="Calibri"/>
          <w:b/>
          <w:sz w:val="22"/>
          <w:szCs w:val="22"/>
        </w:rPr>
        <w:sectPr w:rsidR="00EE1539">
          <w:type w:val="continuous"/>
          <w:pgSz w:w="12240" w:h="15840"/>
          <w:pgMar w:top="1440" w:right="1440" w:bottom="1440" w:left="1440" w:header="0" w:footer="720" w:gutter="0"/>
          <w:cols w:space="720"/>
        </w:sectPr>
      </w:pPr>
      <w:r>
        <w:rPr>
          <w:rFonts w:ascii="Calibri" w:eastAsia="Calibri" w:hAnsi="Calibri" w:cs="Calibri"/>
          <w:b/>
          <w:sz w:val="22"/>
          <w:szCs w:val="22"/>
        </w:rPr>
        <w:br w:type="page"/>
      </w:r>
    </w:p>
    <w:p w14:paraId="2554BE16" w14:textId="108C3727" w:rsidR="00EE1539" w:rsidRPr="00E42EDB" w:rsidRDefault="00EE1539" w:rsidP="00EE1539">
      <w:pPr>
        <w:pStyle w:val="Caption"/>
        <w:keepNext/>
        <w:rPr>
          <w:sz w:val="20"/>
          <w:szCs w:val="20"/>
        </w:rPr>
      </w:pPr>
      <w:r w:rsidRPr="00E42EDB">
        <w:rPr>
          <w:sz w:val="20"/>
          <w:szCs w:val="20"/>
        </w:rPr>
        <w:lastRenderedPageBreak/>
        <w:t xml:space="preserve">Figure </w:t>
      </w:r>
      <w:r w:rsidRPr="00E42EDB">
        <w:rPr>
          <w:sz w:val="20"/>
          <w:szCs w:val="20"/>
        </w:rPr>
        <w:fldChar w:fldCharType="begin"/>
      </w:r>
      <w:r w:rsidRPr="00E42EDB">
        <w:rPr>
          <w:sz w:val="20"/>
          <w:szCs w:val="20"/>
        </w:rPr>
        <w:instrText xml:space="preserve"> SEQ Figure \* ARABIC </w:instrText>
      </w:r>
      <w:r w:rsidRPr="00E42EDB">
        <w:rPr>
          <w:sz w:val="20"/>
          <w:szCs w:val="20"/>
        </w:rPr>
        <w:fldChar w:fldCharType="separate"/>
      </w:r>
      <w:r w:rsidR="00E42EDB">
        <w:rPr>
          <w:noProof/>
          <w:sz w:val="20"/>
          <w:szCs w:val="20"/>
        </w:rPr>
        <w:t>1</w:t>
      </w:r>
      <w:r w:rsidRPr="00E42EDB">
        <w:rPr>
          <w:sz w:val="20"/>
          <w:szCs w:val="20"/>
        </w:rPr>
        <w:fldChar w:fldCharType="end"/>
      </w:r>
      <w:r w:rsidRPr="00E42EDB">
        <w:rPr>
          <w:sz w:val="20"/>
          <w:szCs w:val="20"/>
        </w:rPr>
        <w:t>: Optum Claims Comorbidities Distribution for ant</w:t>
      </w:r>
      <w:r w:rsidR="00E42EDB" w:rsidRPr="00E42EDB">
        <w:rPr>
          <w:sz w:val="20"/>
          <w:szCs w:val="20"/>
        </w:rPr>
        <w:t>i</w:t>
      </w:r>
      <w:r w:rsidRPr="00E42EDB">
        <w:rPr>
          <w:sz w:val="20"/>
          <w:szCs w:val="20"/>
        </w:rPr>
        <w:t>-gly</w:t>
      </w:r>
      <w:r w:rsidR="00E42EDB" w:rsidRPr="00E42EDB">
        <w:rPr>
          <w:sz w:val="20"/>
          <w:szCs w:val="20"/>
        </w:rPr>
        <w:t>cemic</w:t>
      </w:r>
      <w:r w:rsidR="00E42EDB">
        <w:rPr>
          <w:sz w:val="20"/>
          <w:szCs w:val="20"/>
        </w:rPr>
        <w:t xml:space="preserve"> cohorts</w:t>
      </w:r>
    </w:p>
    <w:p w14:paraId="29F46F28" w14:textId="50F8B8D6" w:rsidR="00E42EDB" w:rsidRDefault="00EE1539" w:rsidP="00EE1539">
      <w:pPr>
        <w:rPr>
          <w:rFonts w:ascii="Calibri" w:eastAsia="Calibri" w:hAnsi="Calibri" w:cs="Calibri"/>
          <w:b/>
          <w:noProof/>
          <w:sz w:val="22"/>
          <w:szCs w:val="22"/>
        </w:rPr>
      </w:pPr>
      <w:r>
        <w:rPr>
          <w:rFonts w:ascii="Calibri" w:eastAsia="Calibri" w:hAnsi="Calibri" w:cs="Calibri"/>
          <w:b/>
          <w:noProof/>
          <w:sz w:val="22"/>
          <w:szCs w:val="22"/>
        </w:rPr>
        <w:drawing>
          <wp:inline distT="0" distB="0" distL="0" distR="0" wp14:anchorId="60E6DC38" wp14:editId="6121133D">
            <wp:extent cx="8229600" cy="4957445"/>
            <wp:effectExtent l="0" t="0" r="0" b="0"/>
            <wp:docPr id="4"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8229600" cy="4957445"/>
                    </a:xfrm>
                    <a:prstGeom prst="rect">
                      <a:avLst/>
                    </a:prstGeom>
                  </pic:spPr>
                </pic:pic>
              </a:graphicData>
            </a:graphic>
          </wp:inline>
        </w:drawing>
      </w:r>
    </w:p>
    <w:p w14:paraId="70D7C839" w14:textId="212934C9" w:rsidR="00346555" w:rsidRDefault="00346555" w:rsidP="00346555">
      <w:pPr>
        <w:rPr>
          <w:rFonts w:ascii="Calibri" w:eastAsia="Calibri" w:hAnsi="Calibri" w:cs="Calibri"/>
          <w:b/>
          <w:noProof/>
          <w:sz w:val="22"/>
          <w:szCs w:val="22"/>
        </w:rPr>
      </w:pPr>
    </w:p>
    <w:p w14:paraId="44DAC315" w14:textId="5B371110" w:rsidR="00346555" w:rsidRPr="00FC0142" w:rsidRDefault="00346555" w:rsidP="00FC0142">
      <w:pPr>
        <w:tabs>
          <w:tab w:val="left" w:pos="2475"/>
        </w:tabs>
        <w:rPr>
          <w:rFonts w:ascii="Calibri" w:eastAsia="Calibri" w:hAnsi="Calibri" w:cs="Calibri"/>
          <w:sz w:val="16"/>
          <w:szCs w:val="16"/>
        </w:rPr>
      </w:pPr>
      <w:r w:rsidRPr="00FC0142">
        <w:rPr>
          <w:rFonts w:ascii="Calibri" w:eastAsia="Calibri" w:hAnsi="Calibri" w:cs="Calibri"/>
          <w:sz w:val="16"/>
          <w:szCs w:val="16"/>
        </w:rPr>
        <w:t>Note: a) The plots are for the cohorts going from left to right (</w:t>
      </w:r>
      <w:r w:rsidR="00FF2C7D" w:rsidRPr="00FC0142">
        <w:rPr>
          <w:rFonts w:ascii="Calibri" w:eastAsia="Calibri" w:hAnsi="Calibri" w:cs="Calibri"/>
          <w:sz w:val="16"/>
          <w:szCs w:val="16"/>
        </w:rPr>
        <w:t xml:space="preserve">top: </w:t>
      </w:r>
      <w:r w:rsidRPr="00FC0142">
        <w:rPr>
          <w:rFonts w:ascii="Calibri" w:eastAsia="Calibri" w:hAnsi="Calibri" w:cs="Calibri"/>
          <w:sz w:val="16"/>
          <w:szCs w:val="16"/>
        </w:rPr>
        <w:t>ddp4</w:t>
      </w:r>
      <w:r w:rsidR="00FF2C7D" w:rsidRPr="00FC0142">
        <w:rPr>
          <w:rFonts w:ascii="Calibri" w:eastAsia="Calibri" w:hAnsi="Calibri" w:cs="Calibri"/>
          <w:sz w:val="16"/>
          <w:szCs w:val="16"/>
        </w:rPr>
        <w:t xml:space="preserve">, glp1, and insulin; bottom: metformin, sglt2, and sulfonylureas); b) The x-axis is based on groupings from ICD10 rollup; c) We annotate the top comorbidity for each rollup </w:t>
      </w:r>
    </w:p>
    <w:sectPr w:rsidR="00346555" w:rsidRPr="00FC0142" w:rsidSect="00EE1539">
      <w:type w:val="continuous"/>
      <w:pgSz w:w="15840" w:h="12240" w:orient="landscape"/>
      <w:pgMar w:top="1440" w:right="1440" w:bottom="1440" w:left="1440" w:header="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61A3C0" w14:textId="77777777" w:rsidR="00EA616A" w:rsidRDefault="00EA616A">
      <w:r>
        <w:separator/>
      </w:r>
    </w:p>
  </w:endnote>
  <w:endnote w:type="continuationSeparator" w:id="0">
    <w:p w14:paraId="1A7A74ED" w14:textId="77777777" w:rsidR="00EA616A" w:rsidRDefault="00EA61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ED1D0A" w14:textId="77777777" w:rsidR="00003FB6" w:rsidRDefault="00003FB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D29100" w14:textId="77777777" w:rsidR="00E56BB2" w:rsidRDefault="00E56BB2">
    <w:pPr>
      <w:pBdr>
        <w:top w:val="nil"/>
        <w:left w:val="nil"/>
        <w:bottom w:val="nil"/>
        <w:right w:val="nil"/>
        <w:between w:val="nil"/>
      </w:pBdr>
      <w:tabs>
        <w:tab w:val="center" w:pos="4320"/>
        <w:tab w:val="right" w:pos="8640"/>
      </w:tabs>
      <w:jc w:val="right"/>
      <w:rPr>
        <w:color w:val="000000"/>
      </w:rPr>
    </w:pPr>
  </w:p>
  <w:p w14:paraId="5A1196CC" w14:textId="77777777" w:rsidR="00E56BB2" w:rsidRDefault="00E56BB2">
    <w:pPr>
      <w:pBdr>
        <w:top w:val="nil"/>
        <w:left w:val="nil"/>
        <w:bottom w:val="nil"/>
        <w:right w:val="nil"/>
        <w:between w:val="nil"/>
      </w:pBdr>
      <w:tabs>
        <w:tab w:val="center" w:pos="4320"/>
        <w:tab w:val="right" w:pos="8640"/>
      </w:tabs>
      <w:spacing w:after="720"/>
      <w:ind w:right="360"/>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6ED282" w14:textId="77777777" w:rsidR="00003FB6" w:rsidRDefault="00003FB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69DEEE" w14:textId="77777777" w:rsidR="00EA616A" w:rsidRDefault="00EA616A">
      <w:r>
        <w:separator/>
      </w:r>
    </w:p>
  </w:footnote>
  <w:footnote w:type="continuationSeparator" w:id="0">
    <w:p w14:paraId="0C942CC3" w14:textId="77777777" w:rsidR="00EA616A" w:rsidRDefault="00EA61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22C9A8" w14:textId="77777777" w:rsidR="00003FB6" w:rsidRDefault="00003FB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0DEFEF" w14:textId="77777777" w:rsidR="00003FB6" w:rsidRDefault="00003FB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822040" w14:textId="77777777" w:rsidR="00003FB6" w:rsidRDefault="00003FB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292CBE"/>
    <w:multiLevelType w:val="multilevel"/>
    <w:tmpl w:val="72EC3EBA"/>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15:restartNumberingAfterBreak="0">
    <w:nsid w:val="138C1BE6"/>
    <w:multiLevelType w:val="hybridMultilevel"/>
    <w:tmpl w:val="DCB6E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E2738E"/>
    <w:multiLevelType w:val="hybridMultilevel"/>
    <w:tmpl w:val="D54431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BDF6143"/>
    <w:multiLevelType w:val="hybridMultilevel"/>
    <w:tmpl w:val="2DBCEE8A"/>
    <w:lvl w:ilvl="0" w:tplc="05526C24">
      <w:numFmt w:val="bullet"/>
      <w:lvlText w:val="•"/>
      <w:lvlJc w:val="left"/>
      <w:pPr>
        <w:ind w:left="1080" w:hanging="72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F5822AC"/>
    <w:multiLevelType w:val="hybridMultilevel"/>
    <w:tmpl w:val="209438CE"/>
    <w:lvl w:ilvl="0" w:tplc="05526C24">
      <w:numFmt w:val="bullet"/>
      <w:lvlText w:val="•"/>
      <w:lvlJc w:val="left"/>
      <w:pPr>
        <w:ind w:left="1080" w:hanging="72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32672203">
    <w:abstractNumId w:val="0"/>
  </w:num>
  <w:num w:numId="2" w16cid:durableId="582959389">
    <w:abstractNumId w:val="2"/>
  </w:num>
  <w:num w:numId="3" w16cid:durableId="282661591">
    <w:abstractNumId w:val="4"/>
  </w:num>
  <w:num w:numId="4" w16cid:durableId="55318926">
    <w:abstractNumId w:val="3"/>
  </w:num>
  <w:num w:numId="5" w16cid:durableId="20790175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6BB2"/>
    <w:rsid w:val="00003FB6"/>
    <w:rsid w:val="00014F28"/>
    <w:rsid w:val="00042BB0"/>
    <w:rsid w:val="001838FE"/>
    <w:rsid w:val="00284EA3"/>
    <w:rsid w:val="002B3793"/>
    <w:rsid w:val="00322C26"/>
    <w:rsid w:val="00346555"/>
    <w:rsid w:val="00515665"/>
    <w:rsid w:val="00687A69"/>
    <w:rsid w:val="006D65F6"/>
    <w:rsid w:val="0071572A"/>
    <w:rsid w:val="0072231B"/>
    <w:rsid w:val="007735DF"/>
    <w:rsid w:val="007869B9"/>
    <w:rsid w:val="007D61B5"/>
    <w:rsid w:val="007F76FE"/>
    <w:rsid w:val="0083751B"/>
    <w:rsid w:val="00845930"/>
    <w:rsid w:val="0086739E"/>
    <w:rsid w:val="00876E84"/>
    <w:rsid w:val="0088200A"/>
    <w:rsid w:val="00886E7C"/>
    <w:rsid w:val="008C0331"/>
    <w:rsid w:val="00A058B5"/>
    <w:rsid w:val="00A072D7"/>
    <w:rsid w:val="00A160F1"/>
    <w:rsid w:val="00A558BB"/>
    <w:rsid w:val="00AB2F0C"/>
    <w:rsid w:val="00C75056"/>
    <w:rsid w:val="00CF19CB"/>
    <w:rsid w:val="00D66C9B"/>
    <w:rsid w:val="00E42EDB"/>
    <w:rsid w:val="00E5494A"/>
    <w:rsid w:val="00E56BB2"/>
    <w:rsid w:val="00E8664A"/>
    <w:rsid w:val="00EA616A"/>
    <w:rsid w:val="00EE1539"/>
    <w:rsid w:val="00EF052B"/>
    <w:rsid w:val="00FC0142"/>
    <w:rsid w:val="00FD40C2"/>
    <w:rsid w:val="00FE1F1B"/>
    <w:rsid w:val="00FF2C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1CD690"/>
  <w15:docId w15:val="{08EF95AE-FE4F-4A85-A4CB-9E564E583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pBdr>
        <w:top w:val="nil"/>
        <w:left w:val="nil"/>
        <w:bottom w:val="nil"/>
        <w:right w:val="nil"/>
        <w:between w:val="nil"/>
      </w:pBdr>
      <w:spacing w:before="240" w:after="120"/>
      <w:jc w:val="center"/>
      <w:outlineLvl w:val="0"/>
    </w:pPr>
    <w:rPr>
      <w:b/>
      <w:color w:val="000000"/>
    </w:rPr>
  </w:style>
  <w:style w:type="paragraph" w:styleId="Heading2">
    <w:name w:val="heading 2"/>
    <w:basedOn w:val="Normal"/>
    <w:next w:val="Normal"/>
    <w:uiPriority w:val="9"/>
    <w:semiHidden/>
    <w:unhideWhenUsed/>
    <w:qFormat/>
    <w:pPr>
      <w:keepNext/>
      <w:pBdr>
        <w:top w:val="nil"/>
        <w:left w:val="nil"/>
        <w:bottom w:val="nil"/>
        <w:right w:val="nil"/>
        <w:between w:val="nil"/>
      </w:pBdr>
      <w:jc w:val="center"/>
      <w:outlineLvl w:val="1"/>
    </w:pPr>
    <w:rPr>
      <w:b/>
      <w:color w:val="000000"/>
      <w:sz w:val="24"/>
      <w:szCs w:val="24"/>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pBdr>
        <w:top w:val="nil"/>
        <w:left w:val="nil"/>
        <w:bottom w:val="nil"/>
        <w:right w:val="nil"/>
        <w:between w:val="nil"/>
      </w:pBdr>
      <w:jc w:val="center"/>
      <w:outlineLvl w:val="4"/>
    </w:pPr>
    <w:rPr>
      <w:b/>
      <w:color w:val="000000"/>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Bibliography">
    <w:name w:val="Bibliography"/>
    <w:basedOn w:val="Normal"/>
    <w:next w:val="Normal"/>
    <w:uiPriority w:val="37"/>
    <w:unhideWhenUsed/>
    <w:rsid w:val="0086739E"/>
    <w:pPr>
      <w:tabs>
        <w:tab w:val="left" w:pos="384"/>
      </w:tabs>
      <w:spacing w:after="240"/>
      <w:ind w:left="384" w:hanging="384"/>
    </w:pPr>
  </w:style>
  <w:style w:type="paragraph" w:styleId="Caption">
    <w:name w:val="caption"/>
    <w:basedOn w:val="Normal"/>
    <w:next w:val="Normal"/>
    <w:uiPriority w:val="35"/>
    <w:unhideWhenUsed/>
    <w:qFormat/>
    <w:rsid w:val="00C75056"/>
    <w:pPr>
      <w:spacing w:after="200"/>
    </w:pPr>
    <w:rPr>
      <w:i/>
      <w:iCs/>
      <w:color w:val="1F497D" w:themeColor="text2"/>
      <w:sz w:val="18"/>
      <w:szCs w:val="18"/>
    </w:rPr>
  </w:style>
  <w:style w:type="paragraph" w:styleId="ListParagraph">
    <w:name w:val="List Paragraph"/>
    <w:basedOn w:val="Normal"/>
    <w:uiPriority w:val="34"/>
    <w:qFormat/>
    <w:rsid w:val="008C0331"/>
    <w:pPr>
      <w:ind w:left="720"/>
      <w:contextualSpacing/>
    </w:pPr>
  </w:style>
  <w:style w:type="paragraph" w:styleId="Header">
    <w:name w:val="header"/>
    <w:basedOn w:val="Normal"/>
    <w:link w:val="HeaderChar"/>
    <w:uiPriority w:val="99"/>
    <w:unhideWhenUsed/>
    <w:rsid w:val="00003FB6"/>
    <w:pPr>
      <w:tabs>
        <w:tab w:val="center" w:pos="4680"/>
        <w:tab w:val="right" w:pos="9360"/>
      </w:tabs>
    </w:pPr>
  </w:style>
  <w:style w:type="character" w:customStyle="1" w:styleId="HeaderChar">
    <w:name w:val="Header Char"/>
    <w:basedOn w:val="DefaultParagraphFont"/>
    <w:link w:val="Header"/>
    <w:uiPriority w:val="99"/>
    <w:rsid w:val="00003FB6"/>
  </w:style>
  <w:style w:type="paragraph" w:styleId="Footer">
    <w:name w:val="footer"/>
    <w:basedOn w:val="Normal"/>
    <w:link w:val="FooterChar"/>
    <w:uiPriority w:val="99"/>
    <w:unhideWhenUsed/>
    <w:rsid w:val="00003FB6"/>
    <w:pPr>
      <w:tabs>
        <w:tab w:val="center" w:pos="4680"/>
        <w:tab w:val="right" w:pos="9360"/>
      </w:tabs>
    </w:pPr>
  </w:style>
  <w:style w:type="character" w:customStyle="1" w:styleId="FooterChar">
    <w:name w:val="Footer Char"/>
    <w:basedOn w:val="DefaultParagraphFont"/>
    <w:link w:val="Footer"/>
    <w:uiPriority w:val="99"/>
    <w:rsid w:val="00003FB6"/>
  </w:style>
  <w:style w:type="paragraph" w:styleId="Revision">
    <w:name w:val="Revision"/>
    <w:hidden/>
    <w:uiPriority w:val="99"/>
    <w:semiHidden/>
    <w:rsid w:val="00003FB6"/>
    <w:pPr>
      <w:widowControl/>
    </w:pPr>
  </w:style>
  <w:style w:type="character" w:styleId="CommentReference">
    <w:name w:val="annotation reference"/>
    <w:basedOn w:val="DefaultParagraphFont"/>
    <w:uiPriority w:val="99"/>
    <w:semiHidden/>
    <w:unhideWhenUsed/>
    <w:rsid w:val="00A072D7"/>
    <w:rPr>
      <w:sz w:val="16"/>
      <w:szCs w:val="16"/>
    </w:rPr>
  </w:style>
  <w:style w:type="paragraph" w:styleId="CommentText">
    <w:name w:val="annotation text"/>
    <w:basedOn w:val="Normal"/>
    <w:link w:val="CommentTextChar"/>
    <w:uiPriority w:val="99"/>
    <w:semiHidden/>
    <w:unhideWhenUsed/>
    <w:rsid w:val="00A072D7"/>
  </w:style>
  <w:style w:type="character" w:customStyle="1" w:styleId="CommentTextChar">
    <w:name w:val="Comment Text Char"/>
    <w:basedOn w:val="DefaultParagraphFont"/>
    <w:link w:val="CommentText"/>
    <w:uiPriority w:val="99"/>
    <w:semiHidden/>
    <w:rsid w:val="00A072D7"/>
  </w:style>
  <w:style w:type="paragraph" w:styleId="CommentSubject">
    <w:name w:val="annotation subject"/>
    <w:basedOn w:val="CommentText"/>
    <w:next w:val="CommentText"/>
    <w:link w:val="CommentSubjectChar"/>
    <w:uiPriority w:val="99"/>
    <w:semiHidden/>
    <w:unhideWhenUsed/>
    <w:rsid w:val="00A072D7"/>
    <w:rPr>
      <w:b/>
      <w:bCs/>
    </w:rPr>
  </w:style>
  <w:style w:type="character" w:customStyle="1" w:styleId="CommentSubjectChar">
    <w:name w:val="Comment Subject Char"/>
    <w:basedOn w:val="CommentTextChar"/>
    <w:link w:val="CommentSubject"/>
    <w:uiPriority w:val="99"/>
    <w:semiHidden/>
    <w:rsid w:val="00A072D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1572</Words>
  <Characters>8966</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 Lavallee</dc:creator>
  <cp:lastModifiedBy>Martin Lavallee</cp:lastModifiedBy>
  <cp:revision>3</cp:revision>
  <dcterms:created xsi:type="dcterms:W3CDTF">2022-06-26T12:59:00Z</dcterms:created>
  <dcterms:modified xsi:type="dcterms:W3CDTF">2022-06-26T13:54:00Z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zotero-version="6.0.8"&gt;&lt;session id="NrZFmqTr"/&gt;&lt;style id="http://www.zotero.org/styles/vancouver" locale="en-US" hasBibliography="1" bibliographyStyleHasBeenSet="1"/&gt;&lt;prefs&gt;&lt;pref name="fieldType" value="Field"/&gt;&lt;pref name="automatic</vt:lpwstr>
  </property>
  <property fmtid="{D5CDD505-2E9C-101B-9397-08002B2CF9AE}" pid="3" name="ZOTERO_PREF_2">
    <vt:lpwstr>JournalAbbreviations" value="true"/&gt;&lt;/prefs&gt;&lt;/data&gt;</vt:lpwstr>
  </property>
  <property fmtid="{D5CDD505-2E9C-101B-9397-08002B2CF9AE}" pid="4" name="MSIP_Label_7f850223-87a8-40c3-9eb2-432606efca2a_Enabled">
    <vt:lpwstr>true</vt:lpwstr>
  </property>
  <property fmtid="{D5CDD505-2E9C-101B-9397-08002B2CF9AE}" pid="5" name="MSIP_Label_7f850223-87a8-40c3-9eb2-432606efca2a_SetDate">
    <vt:lpwstr>2022-06-24T18:28:47Z</vt:lpwstr>
  </property>
  <property fmtid="{D5CDD505-2E9C-101B-9397-08002B2CF9AE}" pid="6" name="MSIP_Label_7f850223-87a8-40c3-9eb2-432606efca2a_Method">
    <vt:lpwstr>Standard</vt:lpwstr>
  </property>
  <property fmtid="{D5CDD505-2E9C-101B-9397-08002B2CF9AE}" pid="7" name="MSIP_Label_7f850223-87a8-40c3-9eb2-432606efca2a_Name">
    <vt:lpwstr>7f850223-87a8-40c3-9eb2-432606efca2a</vt:lpwstr>
  </property>
  <property fmtid="{D5CDD505-2E9C-101B-9397-08002B2CF9AE}" pid="8" name="MSIP_Label_7f850223-87a8-40c3-9eb2-432606efca2a_SiteId">
    <vt:lpwstr>fcb2b37b-5da0-466b-9b83-0014b67a7c78</vt:lpwstr>
  </property>
  <property fmtid="{D5CDD505-2E9C-101B-9397-08002B2CF9AE}" pid="9" name="MSIP_Label_7f850223-87a8-40c3-9eb2-432606efca2a_ActionId">
    <vt:lpwstr>2ca6f11a-df8d-4ae1-8fb7-26d498a0e061</vt:lpwstr>
  </property>
  <property fmtid="{D5CDD505-2E9C-101B-9397-08002B2CF9AE}" pid="10" name="MSIP_Label_7f850223-87a8-40c3-9eb2-432606efca2a_ContentBits">
    <vt:lpwstr>0</vt:lpwstr>
  </property>
</Properties>
</file>