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2B4E39" w14:textId="17DB76FA" w:rsidR="00781CE1" w:rsidRDefault="00922441" w:rsidP="00ED0387">
      <w:pPr>
        <w:pStyle w:val="AMIATitle"/>
        <w:spacing w:after="0"/>
      </w:pPr>
      <w:r w:rsidRPr="00922441">
        <w:t>LEVERAGING EPIC’S NATIVE ETL INFRASTRUCTURE FOR OMOP CDM IMPLEMENTATION: A COLLABORATIVE EXPERIENCE</w:t>
      </w:r>
    </w:p>
    <w:p w14:paraId="08649D7A" w14:textId="70DFA8A2" w:rsidR="00781CE1" w:rsidRDefault="00D33A6B" w:rsidP="00ED0387">
      <w:pPr>
        <w:pStyle w:val="AMIAAuthors"/>
      </w:pPr>
      <w:r>
        <w:t>Aamirah</w:t>
      </w:r>
      <w:r w:rsidR="00FD4768">
        <w:t xml:space="preserve"> Vadsariya, RN </w:t>
      </w:r>
      <w:r w:rsidR="00FD4768" w:rsidRPr="00FD4768">
        <w:t>MSN</w:t>
      </w:r>
      <w:r w:rsidRPr="00D33A6B">
        <w:rPr>
          <w:vertAlign w:val="superscript"/>
        </w:rPr>
        <w:t>1</w:t>
      </w:r>
      <w:r>
        <w:t xml:space="preserve">, </w:t>
      </w:r>
      <w:r w:rsidR="008B41C7">
        <w:t>Mereeja Varghese, MS</w:t>
      </w:r>
      <w:r w:rsidR="008B41C7" w:rsidRPr="008B41C7">
        <w:rPr>
          <w:vertAlign w:val="superscript"/>
        </w:rPr>
        <w:t>1</w:t>
      </w:r>
      <w:r w:rsidR="008B41C7">
        <w:t xml:space="preserve">, Bhavini </w:t>
      </w:r>
      <w:proofErr w:type="spellStart"/>
      <w:r w:rsidR="008B41C7">
        <w:t>Nayee</w:t>
      </w:r>
      <w:proofErr w:type="spellEnd"/>
      <w:r w:rsidR="008B41C7">
        <w:t>, BS</w:t>
      </w:r>
      <w:r w:rsidR="008B41C7" w:rsidRPr="00F01DC2">
        <w:rPr>
          <w:vertAlign w:val="superscript"/>
        </w:rPr>
        <w:t>1</w:t>
      </w:r>
      <w:r w:rsidR="008B41C7">
        <w:t>, Jessica Moon, BS</w:t>
      </w:r>
      <w:r w:rsidR="008B41C7" w:rsidRPr="00F01DC2">
        <w:rPr>
          <w:vertAlign w:val="superscript"/>
        </w:rPr>
        <w:t>1</w:t>
      </w:r>
      <w:r w:rsidR="008B41C7">
        <w:t xml:space="preserve">, </w:t>
      </w:r>
      <w:r w:rsidR="00095185">
        <w:t xml:space="preserve">Chaitanya </w:t>
      </w:r>
      <w:proofErr w:type="spellStart"/>
      <w:r w:rsidR="00095185">
        <w:t>Katterapalli</w:t>
      </w:r>
      <w:proofErr w:type="spellEnd"/>
      <w:r w:rsidR="00095185">
        <w:t>, MS</w:t>
      </w:r>
      <w:r w:rsidR="00095185" w:rsidRPr="00F01DC2">
        <w:rPr>
          <w:vertAlign w:val="superscript"/>
        </w:rPr>
        <w:t>2</w:t>
      </w:r>
      <w:r w:rsidR="00095185">
        <w:t>, Clark Walker, MPH</w:t>
      </w:r>
      <w:r w:rsidR="00095185" w:rsidRPr="00F01DC2">
        <w:rPr>
          <w:vertAlign w:val="superscript"/>
        </w:rPr>
        <w:t>2</w:t>
      </w:r>
      <w:r w:rsidR="00095185">
        <w:t>, Chris Gonzalez, LPN</w:t>
      </w:r>
      <w:r w:rsidR="00095185" w:rsidRPr="00F01DC2">
        <w:rPr>
          <w:vertAlign w:val="superscript"/>
        </w:rPr>
        <w:t>2</w:t>
      </w:r>
      <w:r w:rsidR="00095185">
        <w:t xml:space="preserve">, Sonam </w:t>
      </w:r>
      <w:proofErr w:type="spellStart"/>
      <w:r w:rsidR="00095185">
        <w:t>Sohal</w:t>
      </w:r>
      <w:proofErr w:type="spellEnd"/>
      <w:r w:rsidR="00095185">
        <w:t>, MHSM MBA</w:t>
      </w:r>
      <w:r w:rsidR="00095185" w:rsidRPr="00F01DC2">
        <w:rPr>
          <w:vertAlign w:val="superscript"/>
        </w:rPr>
        <w:t>2</w:t>
      </w:r>
      <w:r w:rsidR="00095185">
        <w:t>, Christoph U. Lehmann, MD</w:t>
      </w:r>
      <w:r w:rsidR="00095185" w:rsidRPr="00F01DC2">
        <w:rPr>
          <w:vertAlign w:val="superscript"/>
        </w:rPr>
        <w:t>1</w:t>
      </w:r>
      <w:r w:rsidR="00095185">
        <w:t xml:space="preserve">, </w:t>
      </w:r>
      <w:r w:rsidR="00BB349A">
        <w:t>Ferdinand Velasco, MD</w:t>
      </w:r>
      <w:r w:rsidR="00F01DC2" w:rsidRPr="00F01DC2">
        <w:rPr>
          <w:vertAlign w:val="superscript"/>
        </w:rPr>
        <w:t>2</w:t>
      </w:r>
      <w:r w:rsidR="00BB349A">
        <w:t>, Mujeeb Basit, MD</w:t>
      </w:r>
      <w:r w:rsidR="00BB349A" w:rsidRPr="00F01DC2">
        <w:rPr>
          <w:vertAlign w:val="superscript"/>
        </w:rPr>
        <w:t>1</w:t>
      </w:r>
      <w:r w:rsidR="00BB349A">
        <w:t xml:space="preserve">, </w:t>
      </w:r>
      <w:proofErr w:type="spellStart"/>
      <w:r w:rsidR="00BB349A">
        <w:t>DuWayne</w:t>
      </w:r>
      <w:proofErr w:type="spellEnd"/>
      <w:r w:rsidR="00F01DC2">
        <w:t xml:space="preserve"> Willett, MD</w:t>
      </w:r>
      <w:r w:rsidR="00F01DC2" w:rsidRPr="00F01DC2">
        <w:rPr>
          <w:vertAlign w:val="superscript"/>
        </w:rPr>
        <w:t>1</w:t>
      </w:r>
    </w:p>
    <w:p w14:paraId="16FA10B6" w14:textId="34ADB146" w:rsidR="00781CE1" w:rsidRDefault="000876BD" w:rsidP="00ED0387">
      <w:pPr>
        <w:pStyle w:val="AMIAAffiliations"/>
        <w:spacing w:after="0"/>
      </w:pPr>
      <w:r w:rsidRPr="00B547B7">
        <w:rPr>
          <w:vertAlign w:val="superscript"/>
        </w:rPr>
        <w:t>1</w:t>
      </w:r>
      <w:r w:rsidR="00850D97">
        <w:t>University of Texas Southwestern Medical Center</w:t>
      </w:r>
      <w:r>
        <w:t xml:space="preserve">, </w:t>
      </w:r>
      <w:r w:rsidR="00850D97">
        <w:t>Dallas</w:t>
      </w:r>
      <w:r>
        <w:t xml:space="preserve">, </w:t>
      </w:r>
      <w:r w:rsidR="00850D97">
        <w:t>Texas</w:t>
      </w:r>
      <w:r w:rsidR="00B52D0E">
        <w:t xml:space="preserve">, </w:t>
      </w:r>
      <w:r w:rsidR="00850D97">
        <w:t>USA</w:t>
      </w:r>
      <w:r>
        <w:t xml:space="preserve">; </w:t>
      </w:r>
      <w:r w:rsidRPr="006C79A8">
        <w:rPr>
          <w:vertAlign w:val="superscript"/>
        </w:rPr>
        <w:t>2</w:t>
      </w:r>
      <w:r w:rsidR="00850D97">
        <w:t>Texas Health Resources</w:t>
      </w:r>
      <w:r>
        <w:t xml:space="preserve">, </w:t>
      </w:r>
      <w:r w:rsidR="00850D97">
        <w:t>Arlington</w:t>
      </w:r>
      <w:r>
        <w:t xml:space="preserve">, </w:t>
      </w:r>
      <w:r w:rsidR="00850D97">
        <w:t>Texas</w:t>
      </w:r>
      <w:r w:rsidR="00B52D0E">
        <w:t xml:space="preserve">, </w:t>
      </w:r>
      <w:r w:rsidR="00850D97">
        <w:t>USA</w:t>
      </w:r>
    </w:p>
    <w:p w14:paraId="4FEECD4A" w14:textId="77777777" w:rsidR="000876BD" w:rsidRDefault="000876BD" w:rsidP="00ED0387">
      <w:pPr>
        <w:jc w:val="center"/>
      </w:pPr>
    </w:p>
    <w:p w14:paraId="039CB1AA" w14:textId="77777777" w:rsidR="00781CE1" w:rsidRDefault="000876BD" w:rsidP="00ED0387">
      <w:pPr>
        <w:pStyle w:val="AMIAAbstractHeading"/>
        <w:spacing w:after="0"/>
      </w:pPr>
      <w:r w:rsidRPr="006C79A8">
        <w:t>Abstract</w:t>
      </w:r>
    </w:p>
    <w:p w14:paraId="1A7869E7" w14:textId="5F8E505A" w:rsidR="00CF11DB" w:rsidRDefault="00CF11DB" w:rsidP="00CF11DB">
      <w:pPr>
        <w:pStyle w:val="AMIAAbstract"/>
      </w:pPr>
      <w:r>
        <w:t xml:space="preserve">The University of Texas Southwestern Medical Center (UTSW) and Texas Health Resources (THR) implemented an </w:t>
      </w:r>
      <w:r w:rsidR="00DF50E9" w:rsidRPr="00DF50E9">
        <w:t xml:space="preserve">Observational Medical Outcomes Partnership </w:t>
      </w:r>
      <w:r w:rsidR="00DF50E9">
        <w:t>(</w:t>
      </w:r>
      <w:r>
        <w:t>OMOP</w:t>
      </w:r>
      <w:r w:rsidR="00DF50E9">
        <w:t>)</w:t>
      </w:r>
      <w:r>
        <w:t xml:space="preserve"> common data model (CDM) that utilizes the Epic electronic health record’s (EHR) extract, transform, and load (ETL) system to enable collaborative research with other health institutions within the OHDSI network.</w:t>
      </w:r>
      <w:r w:rsidR="00C220E1">
        <w:t xml:space="preserve">  </w:t>
      </w:r>
      <w:r>
        <w:t xml:space="preserve">We mapped </w:t>
      </w:r>
      <w:r w:rsidR="00AC19B4">
        <w:t xml:space="preserve">EHR </w:t>
      </w:r>
      <w:r>
        <w:t xml:space="preserve">data </w:t>
      </w:r>
      <w:r w:rsidR="00016202">
        <w:t xml:space="preserve">from frequently utilized Epic Models </w:t>
      </w:r>
      <w:r>
        <w:t xml:space="preserve">to </w:t>
      </w:r>
      <w:r w:rsidR="00862CDD">
        <w:t xml:space="preserve">25 </w:t>
      </w:r>
      <w:r>
        <w:t>OMOP CDM tables and transferred the data to a shared OMOP database housed within the Caboodle infrastructure using Epic’s pre-existing ETL system, minimizing the need for customization.</w:t>
      </w:r>
      <w:r w:rsidR="003C7056">
        <w:t xml:space="preserve"> </w:t>
      </w:r>
      <w:r w:rsidR="00DE4F0C">
        <w:t xml:space="preserve"> </w:t>
      </w:r>
      <w:r w:rsidR="00A574BB">
        <w:t xml:space="preserve">ETL processes </w:t>
      </w:r>
      <w:r w:rsidR="008D14CA">
        <w:t>occur</w:t>
      </w:r>
      <w:r w:rsidR="00A574BB">
        <w:t xml:space="preserve"> </w:t>
      </w:r>
      <w:r w:rsidR="008D14CA">
        <w:t>weekly at THR and daily at UTSW.</w:t>
      </w:r>
      <w:r>
        <w:t xml:space="preserve">  OMOP CDM mapping resulted in data quality assessment values of 97% and 98% for THR and UTSW respectively.  Our study established a </w:t>
      </w:r>
      <w:r w:rsidR="00140412">
        <w:t xml:space="preserve">reproduceable, </w:t>
      </w:r>
      <w:r>
        <w:t xml:space="preserve">collaborative </w:t>
      </w:r>
      <w:r w:rsidR="00CF0187">
        <w:t>pipeline</w:t>
      </w:r>
      <w:r>
        <w:t xml:space="preserve"> using the OMOP CDM with Epic’s native ETL framework, expanding the OHDSI research network resulting in better quality and more generalizable data sets available for future research.</w:t>
      </w:r>
    </w:p>
    <w:p w14:paraId="6B30C63B" w14:textId="3FE5106A" w:rsidR="00ED0387" w:rsidRDefault="00DE4F0C" w:rsidP="00CF11DB">
      <w:pPr>
        <w:pStyle w:val="AMIAAbstract"/>
        <w:spacing w:after="0"/>
      </w:pPr>
      <w:r w:rsidRPr="00FF2CBE">
        <w:t>Abstract Word</w:t>
      </w:r>
      <w:r w:rsidR="00CF11DB" w:rsidRPr="00FF2CBE">
        <w:t xml:space="preserve"> Count: </w:t>
      </w:r>
      <w:r w:rsidR="00FF2CBE">
        <w:t>150</w:t>
      </w:r>
    </w:p>
    <w:p w14:paraId="214AA67C" w14:textId="77777777" w:rsidR="00DE4F0C" w:rsidRDefault="00DE4F0C" w:rsidP="00CF11DB">
      <w:pPr>
        <w:pStyle w:val="AMIAAbstract"/>
        <w:spacing w:after="0"/>
      </w:pPr>
    </w:p>
    <w:p w14:paraId="37C610EA" w14:textId="77777777" w:rsidR="00781CE1" w:rsidRDefault="000876BD" w:rsidP="00ED0387">
      <w:pPr>
        <w:pStyle w:val="AMIAHeading"/>
        <w:spacing w:before="0" w:after="0"/>
      </w:pPr>
      <w:r>
        <w:t>Introduction</w:t>
      </w:r>
    </w:p>
    <w:p w14:paraId="0BD382F3" w14:textId="7855EED2" w:rsidR="00855B02" w:rsidRDefault="00855B02" w:rsidP="00855B02">
      <w:pPr>
        <w:pStyle w:val="AMIABodyText"/>
      </w:pPr>
      <w:r>
        <w:t>Data contained in electronic health records (EHR) represents a potential wealth of knowledge if the data can be harvested and analyzed. Means to advance collaborative research amongst healthcare institutions are crucial for that task.  Collaborative research tends to be very labor intensive for information resources teams in charge of developing ways to extract and share abundant data resources.  In this paper, we imagined and implemented an efficient path to cross-institutional collaborative research by populating the Observational Medical Outcomes Partnership (OMOP) common data model (CDM)</w:t>
      </w:r>
      <w:r w:rsidR="30F04FBF" w:rsidRPr="76C0F99D">
        <w:rPr>
          <w:vertAlign w:val="superscript"/>
        </w:rPr>
        <w:t>1,2</w:t>
      </w:r>
      <w:r>
        <w:t xml:space="preserve"> with data by leveraging Epic’s native extract, transform, and load (ETL) infrastructure.  </w:t>
      </w:r>
    </w:p>
    <w:p w14:paraId="4C535701" w14:textId="77777777" w:rsidR="00855B02" w:rsidRDefault="00855B02" w:rsidP="00855B02">
      <w:pPr>
        <w:pStyle w:val="AMIABodyText"/>
      </w:pPr>
      <w:r>
        <w:t xml:space="preserve">Using the OMOP CDM, healthcare institutions can participate in the Observational Health Data Sciences and Informatics (OHDSI) network and collaborate with other researchers and institutions without exposing their data. Through strength in numbers and data points, collaborating researchers using the OMOP CDM can improve the quality of EHR based research studies.  However, participation requires an upfront investment as significant barriers such as developing and maintaining a dedicated ETL system for converting EHR data to the OMOP CDM must be overcome first, which may have prevented many healthcare organizations from participating in the OHDSI network.  </w:t>
      </w:r>
    </w:p>
    <w:p w14:paraId="0E0298BB" w14:textId="343D9A14" w:rsidR="00781CE1" w:rsidRDefault="00855B02" w:rsidP="00855B02">
      <w:pPr>
        <w:pStyle w:val="AMIABodyText"/>
        <w:spacing w:after="0"/>
      </w:pPr>
      <w:r>
        <w:t>In our study, we describe the collaborative efforts of the University of Texas Southwestern Medical Center (UTSW) and Texas Health Resources (THR), two healthcare systems with Epic EHR systems, to leverage the Epic native ETL system to populate the OMOP CDM resulting in improved data transformation and performance, reduced implementation and operational costs, and limited maintenance needs.</w:t>
      </w:r>
    </w:p>
    <w:p w14:paraId="11D19A12" w14:textId="77777777" w:rsidR="00ED0387" w:rsidRDefault="00ED0387" w:rsidP="00ED0387">
      <w:pPr>
        <w:pStyle w:val="AMIABodyText"/>
        <w:spacing w:after="0"/>
      </w:pPr>
    </w:p>
    <w:p w14:paraId="14A9ECEB" w14:textId="44E125A3" w:rsidR="00781CE1" w:rsidRDefault="00BA6D22" w:rsidP="00ED0387">
      <w:pPr>
        <w:pStyle w:val="AMIAHeading"/>
        <w:spacing w:before="0" w:after="0"/>
      </w:pPr>
      <w:r>
        <w:t>Methods</w:t>
      </w:r>
    </w:p>
    <w:p w14:paraId="5793B9CA" w14:textId="77777777" w:rsidR="00185B74" w:rsidRPr="00185B74" w:rsidRDefault="00185B74" w:rsidP="00185B74">
      <w:pPr>
        <w:pStyle w:val="AMIABodyText"/>
        <w:tabs>
          <w:tab w:val="left" w:pos="9360"/>
        </w:tabs>
        <w:rPr>
          <w:i/>
          <w:iCs/>
        </w:rPr>
      </w:pPr>
      <w:r w:rsidRPr="00185B74">
        <w:rPr>
          <w:i/>
          <w:iCs/>
        </w:rPr>
        <w:t>Study Participants</w:t>
      </w:r>
    </w:p>
    <w:p w14:paraId="594B593E" w14:textId="65BFF532" w:rsidR="00185B74" w:rsidRDefault="00185B74" w:rsidP="00185B74">
      <w:pPr>
        <w:pStyle w:val="AMIABodyText"/>
        <w:tabs>
          <w:tab w:val="left" w:pos="9360"/>
        </w:tabs>
      </w:pPr>
      <w:r>
        <w:t>As members of the multi-site Clinical and Translational Science Award (CTSA)</w:t>
      </w:r>
      <w:r w:rsidR="2BB713E8" w:rsidRPr="76C0F99D">
        <w:rPr>
          <w:vertAlign w:val="superscript"/>
        </w:rPr>
        <w:t>3</w:t>
      </w:r>
      <w:r>
        <w:t xml:space="preserve"> UTSW and THR shared the common goal of transforming EHR data into the OMOP CDM format by using Epic’s existing ETL tools</w:t>
      </w:r>
      <w:r w:rsidR="1B466050" w:rsidRPr="76C0F99D">
        <w:rPr>
          <w:vertAlign w:val="superscript"/>
        </w:rPr>
        <w:t>4</w:t>
      </w:r>
      <w:r>
        <w:t>.  Both institutions utilize Epic’s EHR system with Epic Caboodle serving as the data warehouse and ETL infrastructure.</w:t>
      </w:r>
    </w:p>
    <w:p w14:paraId="3AAB77B7" w14:textId="77777777" w:rsidR="00185B74" w:rsidRPr="00185B74" w:rsidRDefault="00185B74" w:rsidP="00185B74">
      <w:pPr>
        <w:pStyle w:val="AMIABodyText"/>
        <w:tabs>
          <w:tab w:val="left" w:pos="9360"/>
        </w:tabs>
        <w:rPr>
          <w:i/>
          <w:iCs/>
        </w:rPr>
      </w:pPr>
      <w:r w:rsidRPr="00185B74">
        <w:rPr>
          <w:i/>
          <w:iCs/>
        </w:rPr>
        <w:t>IRB Statement</w:t>
      </w:r>
    </w:p>
    <w:p w14:paraId="5F1C794D" w14:textId="77777777" w:rsidR="00185B74" w:rsidRDefault="00185B74" w:rsidP="00185B74">
      <w:pPr>
        <w:pStyle w:val="AMIABodyText"/>
        <w:tabs>
          <w:tab w:val="left" w:pos="9360"/>
        </w:tabs>
      </w:pPr>
      <w:r>
        <w:t>Only aggregate data were included in this study, making deidentification of individuals impossible. Thus, patient consent or approval from an institutional review board were not required.</w:t>
      </w:r>
    </w:p>
    <w:p w14:paraId="6266664C" w14:textId="77777777" w:rsidR="00185B74" w:rsidRPr="00185B74" w:rsidRDefault="00185B74" w:rsidP="00185B74">
      <w:pPr>
        <w:pStyle w:val="AMIABodyText"/>
        <w:tabs>
          <w:tab w:val="left" w:pos="9360"/>
        </w:tabs>
        <w:rPr>
          <w:i/>
          <w:iCs/>
        </w:rPr>
      </w:pPr>
      <w:r w:rsidRPr="00185B74">
        <w:rPr>
          <w:i/>
          <w:iCs/>
        </w:rPr>
        <w:t>Data Sources, Environments, and Implementation</w:t>
      </w:r>
    </w:p>
    <w:p w14:paraId="0D6F5DF6" w14:textId="3C203BE7" w:rsidR="00185B74" w:rsidRDefault="00185B74" w:rsidP="00185B74">
      <w:pPr>
        <w:pStyle w:val="AMIABodyText"/>
        <w:tabs>
          <w:tab w:val="left" w:pos="9360"/>
        </w:tabs>
      </w:pPr>
      <w:r>
        <w:lastRenderedPageBreak/>
        <w:t>To ensure consistent data conversion across both UTSW and THR, our implementation of OMOP at each institution involved four environments: Development (DEV), Testing (TST), Release (REL)</w:t>
      </w:r>
      <w:r w:rsidR="0918E7CA">
        <w:t>, present only at THR</w:t>
      </w:r>
      <w:r>
        <w:t>, and Production (PRD).   The installation of the OMOP Data Management Console (DMC), SQL Server Integration Services (SSIS) packages, and various stored procedures and views were customized to accommodate the individual database management systems, Oracle</w:t>
      </w:r>
      <w:r w:rsidR="73FC72FC">
        <w:t xml:space="preserve"> (Clarity) and Microsoft SQL Server (Caboodle)</w:t>
      </w:r>
      <w:r>
        <w:t xml:space="preserve"> at THR and Microsoft SQL Server at UTSW, respectively.  For the THR based Caboodle environment, data were loaded into the OMOP tables for the DEV, TST, and REL environments with the PRD load scheduled for post-validation in the REL environment.  This data load process is completed weekly and completion of the ETL process occurs within 7 to 8 hours.  For the UTSW based Caboodle environment, the data load process into the OMOP tables is completed nightly, occurring within 5 to 6 hours on average and ongoing validation is conducted for network study readiness (Figure 1).  The ETL process utilizes existing Epic-to-OMOP transformation logic and standard mappings of local Epic data to Caboodle fields.  </w:t>
      </w:r>
    </w:p>
    <w:p w14:paraId="0A828FC8" w14:textId="4E263876" w:rsidR="003F7B18" w:rsidRDefault="00185B74" w:rsidP="00185B74">
      <w:pPr>
        <w:pStyle w:val="AMIABodyText"/>
        <w:tabs>
          <w:tab w:val="left" w:pos="9360"/>
        </w:tabs>
      </w:pPr>
      <w:r>
        <w:t xml:space="preserve">  </w:t>
      </w:r>
      <w:r w:rsidR="003F7B18">
        <w:rPr>
          <w:noProof/>
        </w:rPr>
        <w:drawing>
          <wp:inline distT="0" distB="0" distL="0" distR="0" wp14:anchorId="2737CA1B" wp14:editId="719C51CF">
            <wp:extent cx="5867398" cy="5924548"/>
            <wp:effectExtent l="0" t="0" r="0" b="0"/>
            <wp:docPr id="647966115" name="Picture 1" descr="A diagram of a diagram of a data fl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5867398" cy="5924548"/>
                    </a:xfrm>
                    <a:prstGeom prst="rect">
                      <a:avLst/>
                    </a:prstGeom>
                  </pic:spPr>
                </pic:pic>
              </a:graphicData>
            </a:graphic>
          </wp:inline>
        </w:drawing>
      </w:r>
    </w:p>
    <w:p w14:paraId="4EB5EEEE" w14:textId="60B51D55" w:rsidR="00185B74" w:rsidRDefault="00185B74" w:rsidP="00185B74">
      <w:pPr>
        <w:pStyle w:val="AMIABodyText"/>
        <w:tabs>
          <w:tab w:val="left" w:pos="9360"/>
        </w:tabs>
      </w:pPr>
      <w:r w:rsidRPr="000D451E">
        <w:rPr>
          <w:b/>
          <w:bCs/>
        </w:rPr>
        <w:t>Figure 1</w:t>
      </w:r>
      <w:r>
        <w:t>. Epic Caboodle ETL data flow for both (A) Texas Health Resources (THR) and (B) the University of Texas Southwestern Medical Center.  A Pre-OMOP Caboodle ETL data flow is shown on the left of Figure 1B.</w:t>
      </w:r>
    </w:p>
    <w:p w14:paraId="349BF8CD" w14:textId="77777777" w:rsidR="00185B74" w:rsidRDefault="00185B74" w:rsidP="00185B74">
      <w:pPr>
        <w:pStyle w:val="AMIABodyText"/>
        <w:tabs>
          <w:tab w:val="left" w:pos="9360"/>
        </w:tabs>
      </w:pPr>
    </w:p>
    <w:p w14:paraId="5EA4B03B" w14:textId="3E03BE2D" w:rsidR="00185B74" w:rsidRDefault="00185B74" w:rsidP="00185B74">
      <w:pPr>
        <w:pStyle w:val="AMIABodyText"/>
        <w:tabs>
          <w:tab w:val="left" w:pos="9360"/>
        </w:tabs>
      </w:pPr>
      <w:r>
        <w:t>We utilized open-source software tools provided by OHDSI in the mapping of the source data from Epic to the OMOP CDM.  WhiteRabbit</w:t>
      </w:r>
      <w:r w:rsidR="0020C6E9" w:rsidRPr="76C0F99D">
        <w:rPr>
          <w:vertAlign w:val="superscript"/>
        </w:rPr>
        <w:t>5</w:t>
      </w:r>
      <w:r>
        <w:t xml:space="preserve"> and Rabbit-in-a-</w:t>
      </w:r>
      <w:r w:rsidR="003F7B18">
        <w:t>Hat tools</w:t>
      </w:r>
      <w:r>
        <w:t xml:space="preserve"> were used in the design stage of the ETL development, while Usagi</w:t>
      </w:r>
      <w:r w:rsidR="65B9D821" w:rsidRPr="76C0F99D">
        <w:rPr>
          <w:vertAlign w:val="superscript"/>
        </w:rPr>
        <w:t>6</w:t>
      </w:r>
      <w:r>
        <w:t xml:space="preserve"> was used to create code mappings for the ETL</w:t>
      </w:r>
      <w:r w:rsidR="36A3BB35" w:rsidRPr="76C0F99D">
        <w:rPr>
          <w:vertAlign w:val="superscript"/>
        </w:rPr>
        <w:t>7</w:t>
      </w:r>
      <w:r>
        <w:t>.  Epic’s existing ETL logic was reused to map local data source fields to the OMOP CDM tables, minimizing the need for site specific customizations.  In total, 25 OMOP CDM tables were implemented, comprised of 10 vocabulary tables, 3 health system tables, and 12 clinical data tables</w:t>
      </w:r>
      <w:r w:rsidR="5A39796C">
        <w:t>, along with 2 metadata views</w:t>
      </w:r>
      <w:r>
        <w:t xml:space="preserve"> (Figure 2).  To allow for data migration between UTSW and THR, we created custom Caboodle Data Model Component (DMC) packages for both TST and PRD environments to store the procedures used to transform Epic data into the OMOP format.  </w:t>
      </w:r>
    </w:p>
    <w:p w14:paraId="6F09A684" w14:textId="77777777" w:rsidR="00185B74" w:rsidRDefault="00185B74" w:rsidP="00185B74">
      <w:pPr>
        <w:pStyle w:val="AMIABodyText"/>
        <w:tabs>
          <w:tab w:val="left" w:pos="9360"/>
        </w:tabs>
      </w:pPr>
      <w:r>
        <w:t xml:space="preserve"> </w:t>
      </w:r>
    </w:p>
    <w:p w14:paraId="28E22D15" w14:textId="3A39C2DE" w:rsidR="005A287E" w:rsidRDefault="49081219" w:rsidP="76C0F99D">
      <w:pPr>
        <w:tabs>
          <w:tab w:val="left" w:pos="9360"/>
        </w:tabs>
      </w:pPr>
      <w:r>
        <w:rPr>
          <w:noProof/>
        </w:rPr>
        <w:drawing>
          <wp:inline distT="0" distB="0" distL="0" distR="0" wp14:anchorId="702105A5" wp14:editId="5AF98EE5">
            <wp:extent cx="5943600" cy="3600450"/>
            <wp:effectExtent l="0" t="0" r="0" b="0"/>
            <wp:docPr id="473871291" name="Picture 473871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943600" cy="3600450"/>
                    </a:xfrm>
                    <a:prstGeom prst="rect">
                      <a:avLst/>
                    </a:prstGeom>
                  </pic:spPr>
                </pic:pic>
              </a:graphicData>
            </a:graphic>
          </wp:inline>
        </w:drawing>
      </w:r>
    </w:p>
    <w:p w14:paraId="6046030C" w14:textId="7AFE39E9" w:rsidR="00185B74" w:rsidRDefault="00185B74" w:rsidP="00185B74">
      <w:pPr>
        <w:pStyle w:val="AMIABodyText"/>
        <w:tabs>
          <w:tab w:val="left" w:pos="9360"/>
        </w:tabs>
      </w:pPr>
      <w:r w:rsidRPr="76C0F99D">
        <w:rPr>
          <w:b/>
          <w:bCs/>
        </w:rPr>
        <w:t>Figure 2</w:t>
      </w:r>
      <w:r>
        <w:t xml:space="preserve">. The twenty-five tables </w:t>
      </w:r>
      <w:r w:rsidR="089D1742">
        <w:t xml:space="preserve">and 2 metadata views </w:t>
      </w:r>
      <w:r>
        <w:t>that were implemented in our data model outlined in red compared to tables available in the OMOP common data model.</w:t>
      </w:r>
    </w:p>
    <w:p w14:paraId="78EFCF2E" w14:textId="77777777" w:rsidR="00185B74" w:rsidRDefault="00185B74" w:rsidP="00185B74">
      <w:pPr>
        <w:pStyle w:val="AMIABodyText"/>
        <w:tabs>
          <w:tab w:val="left" w:pos="9360"/>
        </w:tabs>
      </w:pPr>
    </w:p>
    <w:p w14:paraId="22EC002A" w14:textId="50948C21" w:rsidR="00185B74" w:rsidRDefault="00185B74" w:rsidP="00185B74">
      <w:pPr>
        <w:pStyle w:val="AMIABodyText"/>
        <w:tabs>
          <w:tab w:val="left" w:pos="9360"/>
        </w:tabs>
      </w:pPr>
      <w:r>
        <w:t>As a key component of the OMOP implementation, the ETL process ensures that clinical data are</w:t>
      </w:r>
      <w:r w:rsidR="005A287E">
        <w:t xml:space="preserve"> </w:t>
      </w:r>
      <w:r>
        <w:t>accurately transformed and loaded into the OMOP CDM tables.  Refinement of the ETL process included 1) mapping codes with the highest frequency from the local sources to the standard OHDSI concepts to facilitate clinical data integration across UTSW and THR, 2) adjusting the SSIS load packages to support Unicode text for both Oracle and Microsoft SQL platforms ensuring compatibility across the different database management system platforms, and 3) modifications of stored procedures to prevent text truncations, increase data processing speed, and reduce ETL times.</w:t>
      </w:r>
    </w:p>
    <w:p w14:paraId="52CF06D3" w14:textId="77777777" w:rsidR="00185B74" w:rsidRPr="00175477" w:rsidRDefault="00185B74" w:rsidP="00185B74">
      <w:pPr>
        <w:pStyle w:val="AMIABodyText"/>
        <w:tabs>
          <w:tab w:val="left" w:pos="9360"/>
        </w:tabs>
        <w:rPr>
          <w:i/>
          <w:iCs/>
        </w:rPr>
      </w:pPr>
      <w:r w:rsidRPr="00175477">
        <w:rPr>
          <w:i/>
          <w:iCs/>
        </w:rPr>
        <w:t>Evaluation</w:t>
      </w:r>
    </w:p>
    <w:p w14:paraId="6B45B600" w14:textId="56A34039" w:rsidR="00185B74" w:rsidRDefault="00185B74" w:rsidP="00185B74">
      <w:pPr>
        <w:pStyle w:val="AMIABodyText"/>
        <w:tabs>
          <w:tab w:val="left" w:pos="9360"/>
        </w:tabs>
      </w:pPr>
      <w:r>
        <w:t>To warrant data integrity, we employed OHDSI’s Data Quality Dashboard</w:t>
      </w:r>
      <w:r w:rsidR="320DECC0" w:rsidRPr="76C0F99D">
        <w:rPr>
          <w:vertAlign w:val="superscript"/>
        </w:rPr>
        <w:t>8,9</w:t>
      </w:r>
      <w:r>
        <w:t>, which provides a comprehensive overview of data quality across the OMOP tables by checking conformity to the OMOP CDM specifications and ensuring that data were correctly mapped to standardizations such as SNOMED CT and ICD codes.  The dashboard was also used to identify areas for improvement and to track the resolution of any data discrepancies.</w:t>
      </w:r>
    </w:p>
    <w:p w14:paraId="5C9171AA" w14:textId="6C6406AC" w:rsidR="00ED0387" w:rsidRDefault="00185B74" w:rsidP="00185B74">
      <w:pPr>
        <w:pStyle w:val="AMIABodyText"/>
        <w:tabs>
          <w:tab w:val="left" w:pos="9360"/>
        </w:tabs>
        <w:spacing w:after="0"/>
      </w:pPr>
      <w:r>
        <w:t xml:space="preserve">In addition to the Data Quality Dashboard, we used test queries that we compared to Epic’s </w:t>
      </w:r>
      <w:proofErr w:type="spellStart"/>
      <w:r>
        <w:t>SlicerDicer</w:t>
      </w:r>
      <w:proofErr w:type="spellEnd"/>
      <w:r>
        <w:t xml:space="preserve"> to validate that the data could be used for collaborative research without the need for additional processing.  One example test query compared the usage of </w:t>
      </w:r>
      <w:proofErr w:type="spellStart"/>
      <w:r>
        <w:t>Semaglutide</w:t>
      </w:r>
      <w:proofErr w:type="spellEnd"/>
      <w:r>
        <w:t xml:space="preserve"> in patients with and without diabetes by conducting a retrospective analysis </w:t>
      </w:r>
      <w:r>
        <w:lastRenderedPageBreak/>
        <w:t xml:space="preserve">with data extracted from the OMOP CDM for a 4-year period with two patient cohorts identified: patients with pre-existing Diabetes and patients without pre-existing Diabetes.  The pre-existing Diabetes cohort was based on having a recorded Diabetes diagnosis on or before the date of the first </w:t>
      </w:r>
      <w:proofErr w:type="spellStart"/>
      <w:r>
        <w:t>Semaglutide</w:t>
      </w:r>
      <w:proofErr w:type="spellEnd"/>
      <w:r>
        <w:t xml:space="preserve"> prescription while the cohort without pre-existing Diabetes had no recorded diagnosis prior to the </w:t>
      </w:r>
      <w:proofErr w:type="spellStart"/>
      <w:r>
        <w:t>Semaglutide</w:t>
      </w:r>
      <w:proofErr w:type="spellEnd"/>
      <w:r>
        <w:t xml:space="preserve"> prescription.  This query ran successfully without error and provided population results in the OMOP CDM closely aligned with results obtained from UTSW’s Epic </w:t>
      </w:r>
      <w:proofErr w:type="spellStart"/>
      <w:r>
        <w:t>SlicerDicer</w:t>
      </w:r>
      <w:proofErr w:type="spellEnd"/>
      <w:r>
        <w:t xml:space="preserve"> instance.</w:t>
      </w:r>
    </w:p>
    <w:p w14:paraId="70B74270" w14:textId="77777777" w:rsidR="00175477" w:rsidRDefault="00175477" w:rsidP="00185B74">
      <w:pPr>
        <w:pStyle w:val="AMIABodyText"/>
        <w:tabs>
          <w:tab w:val="left" w:pos="9360"/>
        </w:tabs>
        <w:spacing w:after="0"/>
      </w:pPr>
    </w:p>
    <w:p w14:paraId="2F0AD4DA" w14:textId="21D19DB4" w:rsidR="00BA6D22" w:rsidRDefault="00BA6D22" w:rsidP="00BA6D22">
      <w:pPr>
        <w:pStyle w:val="AMIAHeading"/>
        <w:spacing w:before="0" w:after="0"/>
      </w:pPr>
      <w:r>
        <w:t>Results</w:t>
      </w:r>
    </w:p>
    <w:p w14:paraId="08CC5F0E" w14:textId="2F24132C" w:rsidR="00ED0387" w:rsidRDefault="000D451E" w:rsidP="00ED0387">
      <w:pPr>
        <w:pStyle w:val="AMIABodyText"/>
        <w:spacing w:after="0"/>
      </w:pPr>
      <w:r w:rsidRPr="000D451E">
        <w:t>After we successfully implemented and loaded large datasets into the OMOP CDM, we measured the population statistics for both institutions (Table 1).  As was expected, THR data had a higher person count and drug exposure count due to a larger patient population.</w:t>
      </w: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116"/>
        <w:gridCol w:w="3634"/>
      </w:tblGrid>
      <w:tr w:rsidR="004D22BA" w:rsidRPr="000347F7" w14:paraId="03C7B9AD" w14:textId="77777777" w:rsidTr="00035C58">
        <w:tc>
          <w:tcPr>
            <w:tcW w:w="6750" w:type="dxa"/>
            <w:gridSpan w:val="2"/>
            <w:vAlign w:val="center"/>
          </w:tcPr>
          <w:p w14:paraId="5FDEDCC1" w14:textId="77777777" w:rsidR="004D22BA" w:rsidRPr="000347F7" w:rsidRDefault="004D22BA" w:rsidP="00035C58">
            <w:pPr>
              <w:spacing w:line="276" w:lineRule="auto"/>
              <w:rPr>
                <w:rFonts w:ascii="Times New Roman" w:hAnsi="Times New Roman" w:cs="Times New Roman"/>
                <w:b/>
                <w:bCs/>
                <w:sz w:val="20"/>
                <w:szCs w:val="20"/>
              </w:rPr>
            </w:pPr>
          </w:p>
        </w:tc>
      </w:tr>
      <w:tr w:rsidR="004D22BA" w:rsidRPr="000347F7" w14:paraId="23610431" w14:textId="77777777" w:rsidTr="00035C58">
        <w:tc>
          <w:tcPr>
            <w:tcW w:w="6750" w:type="dxa"/>
            <w:gridSpan w:val="2"/>
            <w:vAlign w:val="center"/>
          </w:tcPr>
          <w:p w14:paraId="202AC1FF" w14:textId="77777777" w:rsidR="004D22BA" w:rsidRPr="000347F7" w:rsidRDefault="004D22BA" w:rsidP="00035C58">
            <w:pPr>
              <w:spacing w:line="276" w:lineRule="auto"/>
              <w:rPr>
                <w:rFonts w:ascii="Times New Roman" w:hAnsi="Times New Roman" w:cs="Times New Roman"/>
                <w:b/>
                <w:bCs/>
                <w:sz w:val="20"/>
                <w:szCs w:val="20"/>
              </w:rPr>
            </w:pPr>
            <w:r w:rsidRPr="000347F7">
              <w:rPr>
                <w:rFonts w:ascii="Times New Roman" w:hAnsi="Times New Roman" w:cs="Times New Roman"/>
                <w:b/>
                <w:bCs/>
                <w:sz w:val="20"/>
                <w:szCs w:val="20"/>
              </w:rPr>
              <w:t>Person Count (n)</w:t>
            </w:r>
          </w:p>
        </w:tc>
      </w:tr>
      <w:tr w:rsidR="004D22BA" w:rsidRPr="000347F7" w14:paraId="0CE7CF43" w14:textId="77777777" w:rsidTr="00035C58">
        <w:tc>
          <w:tcPr>
            <w:tcW w:w="3116" w:type="dxa"/>
            <w:vAlign w:val="center"/>
          </w:tcPr>
          <w:p w14:paraId="5BEA9A40" w14:textId="77777777" w:rsidR="004D22BA" w:rsidRPr="000347F7" w:rsidRDefault="004D22BA" w:rsidP="00035C58">
            <w:pPr>
              <w:spacing w:line="276" w:lineRule="auto"/>
              <w:ind w:left="161"/>
              <w:rPr>
                <w:rFonts w:ascii="Times New Roman" w:hAnsi="Times New Roman" w:cs="Times New Roman"/>
                <w:sz w:val="20"/>
                <w:szCs w:val="20"/>
              </w:rPr>
            </w:pPr>
            <w:r w:rsidRPr="000347F7">
              <w:rPr>
                <w:rFonts w:ascii="Times New Roman" w:hAnsi="Times New Roman" w:cs="Times New Roman"/>
                <w:sz w:val="20"/>
                <w:szCs w:val="20"/>
              </w:rPr>
              <w:t>Texas Health Resources (THR)</w:t>
            </w:r>
          </w:p>
        </w:tc>
        <w:tc>
          <w:tcPr>
            <w:tcW w:w="3634" w:type="dxa"/>
            <w:vAlign w:val="center"/>
          </w:tcPr>
          <w:p w14:paraId="522C69E8" w14:textId="77777777" w:rsidR="004D22BA" w:rsidRPr="000347F7" w:rsidRDefault="004D22BA" w:rsidP="00035C58">
            <w:pPr>
              <w:spacing w:line="276" w:lineRule="auto"/>
              <w:jc w:val="center"/>
              <w:rPr>
                <w:rFonts w:ascii="Times New Roman" w:hAnsi="Times New Roman" w:cs="Times New Roman"/>
                <w:sz w:val="20"/>
                <w:szCs w:val="20"/>
              </w:rPr>
            </w:pPr>
            <w:r w:rsidRPr="000347F7">
              <w:rPr>
                <w:rFonts w:ascii="Times New Roman" w:hAnsi="Times New Roman" w:cs="Times New Roman"/>
                <w:sz w:val="20"/>
                <w:szCs w:val="20"/>
              </w:rPr>
              <w:t>7,361,120</w:t>
            </w:r>
          </w:p>
        </w:tc>
      </w:tr>
      <w:tr w:rsidR="004D22BA" w:rsidRPr="000347F7" w14:paraId="03FC040F" w14:textId="77777777" w:rsidTr="00035C58">
        <w:tc>
          <w:tcPr>
            <w:tcW w:w="3116" w:type="dxa"/>
            <w:vAlign w:val="center"/>
          </w:tcPr>
          <w:p w14:paraId="3406F8FC" w14:textId="77777777" w:rsidR="004D22BA" w:rsidRPr="000347F7" w:rsidRDefault="004D22BA" w:rsidP="00035C58">
            <w:pPr>
              <w:spacing w:line="276" w:lineRule="auto"/>
              <w:ind w:left="161"/>
              <w:rPr>
                <w:rFonts w:ascii="Times New Roman" w:hAnsi="Times New Roman" w:cs="Times New Roman"/>
                <w:sz w:val="20"/>
                <w:szCs w:val="20"/>
              </w:rPr>
            </w:pPr>
            <w:r w:rsidRPr="000347F7">
              <w:rPr>
                <w:rFonts w:ascii="Times New Roman" w:hAnsi="Times New Roman" w:cs="Times New Roman"/>
                <w:sz w:val="20"/>
                <w:szCs w:val="20"/>
              </w:rPr>
              <w:t>University of Texas Southwestern Medical Center (UTSW)</w:t>
            </w:r>
          </w:p>
        </w:tc>
        <w:tc>
          <w:tcPr>
            <w:tcW w:w="3634" w:type="dxa"/>
            <w:vAlign w:val="center"/>
          </w:tcPr>
          <w:p w14:paraId="0A8AA581" w14:textId="77777777" w:rsidR="004D22BA" w:rsidRPr="000347F7" w:rsidRDefault="004D22BA" w:rsidP="00035C58">
            <w:pPr>
              <w:spacing w:line="276" w:lineRule="auto"/>
              <w:jc w:val="center"/>
              <w:rPr>
                <w:rFonts w:ascii="Times New Roman" w:hAnsi="Times New Roman" w:cs="Times New Roman"/>
                <w:sz w:val="20"/>
                <w:szCs w:val="20"/>
              </w:rPr>
            </w:pPr>
            <w:r w:rsidRPr="000347F7">
              <w:rPr>
                <w:rFonts w:ascii="Times New Roman" w:hAnsi="Times New Roman" w:cs="Times New Roman"/>
                <w:sz w:val="20"/>
                <w:szCs w:val="20"/>
              </w:rPr>
              <w:t>5,617,846</w:t>
            </w:r>
          </w:p>
        </w:tc>
      </w:tr>
      <w:tr w:rsidR="004D22BA" w:rsidRPr="000347F7" w14:paraId="51FEB38C" w14:textId="77777777" w:rsidTr="00035C58">
        <w:tc>
          <w:tcPr>
            <w:tcW w:w="6750" w:type="dxa"/>
            <w:gridSpan w:val="2"/>
            <w:vAlign w:val="center"/>
          </w:tcPr>
          <w:p w14:paraId="76345DC8" w14:textId="77777777" w:rsidR="004D22BA" w:rsidRPr="000347F7" w:rsidRDefault="004D22BA" w:rsidP="00035C58">
            <w:pPr>
              <w:spacing w:line="276" w:lineRule="auto"/>
              <w:rPr>
                <w:rFonts w:ascii="Times New Roman" w:hAnsi="Times New Roman" w:cs="Times New Roman"/>
                <w:b/>
                <w:bCs/>
                <w:sz w:val="20"/>
                <w:szCs w:val="20"/>
              </w:rPr>
            </w:pPr>
            <w:r w:rsidRPr="000347F7">
              <w:rPr>
                <w:rFonts w:ascii="Times New Roman" w:hAnsi="Times New Roman" w:cs="Times New Roman"/>
                <w:b/>
                <w:bCs/>
                <w:sz w:val="20"/>
                <w:szCs w:val="20"/>
              </w:rPr>
              <w:t>Drug Exposure Count (n)</w:t>
            </w:r>
          </w:p>
        </w:tc>
      </w:tr>
      <w:tr w:rsidR="004D22BA" w:rsidRPr="000347F7" w14:paraId="19FF0E2C" w14:textId="77777777" w:rsidTr="00035C58">
        <w:tc>
          <w:tcPr>
            <w:tcW w:w="3116" w:type="dxa"/>
            <w:vAlign w:val="center"/>
          </w:tcPr>
          <w:p w14:paraId="333ADF4C" w14:textId="77777777" w:rsidR="004D22BA" w:rsidRPr="000347F7" w:rsidRDefault="004D22BA" w:rsidP="00035C58">
            <w:pPr>
              <w:spacing w:line="276" w:lineRule="auto"/>
              <w:ind w:left="161"/>
              <w:rPr>
                <w:rFonts w:ascii="Times New Roman" w:hAnsi="Times New Roman" w:cs="Times New Roman"/>
                <w:sz w:val="20"/>
                <w:szCs w:val="20"/>
              </w:rPr>
            </w:pPr>
            <w:r w:rsidRPr="000347F7">
              <w:rPr>
                <w:rFonts w:ascii="Times New Roman" w:hAnsi="Times New Roman" w:cs="Times New Roman"/>
                <w:sz w:val="20"/>
                <w:szCs w:val="20"/>
              </w:rPr>
              <w:t>Texas Health Resources (THR)</w:t>
            </w:r>
          </w:p>
        </w:tc>
        <w:tc>
          <w:tcPr>
            <w:tcW w:w="3634" w:type="dxa"/>
            <w:vAlign w:val="center"/>
          </w:tcPr>
          <w:p w14:paraId="74952D7D" w14:textId="77777777" w:rsidR="004D22BA" w:rsidRPr="000347F7" w:rsidRDefault="004D22BA" w:rsidP="00035C58">
            <w:pPr>
              <w:spacing w:line="276" w:lineRule="auto"/>
              <w:jc w:val="center"/>
              <w:rPr>
                <w:rFonts w:ascii="Times New Roman" w:hAnsi="Times New Roman" w:cs="Times New Roman"/>
                <w:sz w:val="20"/>
                <w:szCs w:val="20"/>
              </w:rPr>
            </w:pPr>
            <w:r w:rsidRPr="000347F7">
              <w:rPr>
                <w:rFonts w:ascii="Times New Roman" w:hAnsi="Times New Roman" w:cs="Times New Roman"/>
                <w:sz w:val="20"/>
                <w:szCs w:val="20"/>
              </w:rPr>
              <w:t>164,888,002</w:t>
            </w:r>
          </w:p>
        </w:tc>
      </w:tr>
      <w:tr w:rsidR="004D22BA" w:rsidRPr="000347F7" w14:paraId="4C4DC31E" w14:textId="77777777" w:rsidTr="00035C58">
        <w:tc>
          <w:tcPr>
            <w:tcW w:w="3116" w:type="dxa"/>
            <w:vAlign w:val="center"/>
          </w:tcPr>
          <w:p w14:paraId="68CF67E7" w14:textId="77777777" w:rsidR="004D22BA" w:rsidRPr="000347F7" w:rsidRDefault="004D22BA" w:rsidP="00035C58">
            <w:pPr>
              <w:spacing w:line="276" w:lineRule="auto"/>
              <w:ind w:left="161"/>
              <w:rPr>
                <w:rFonts w:ascii="Times New Roman" w:hAnsi="Times New Roman" w:cs="Times New Roman"/>
                <w:sz w:val="20"/>
                <w:szCs w:val="20"/>
              </w:rPr>
            </w:pPr>
            <w:r w:rsidRPr="000347F7">
              <w:rPr>
                <w:rFonts w:ascii="Times New Roman" w:hAnsi="Times New Roman" w:cs="Times New Roman"/>
                <w:sz w:val="20"/>
                <w:szCs w:val="20"/>
              </w:rPr>
              <w:t>University of Texas Southwestern Medical Center (UTSW)</w:t>
            </w:r>
          </w:p>
        </w:tc>
        <w:tc>
          <w:tcPr>
            <w:tcW w:w="3634" w:type="dxa"/>
            <w:vAlign w:val="center"/>
          </w:tcPr>
          <w:p w14:paraId="77D1F26A" w14:textId="77777777" w:rsidR="004D22BA" w:rsidRPr="000347F7" w:rsidRDefault="004D22BA" w:rsidP="00035C58">
            <w:pPr>
              <w:spacing w:line="276" w:lineRule="auto"/>
              <w:jc w:val="center"/>
              <w:rPr>
                <w:rFonts w:ascii="Times New Roman" w:hAnsi="Times New Roman" w:cs="Times New Roman"/>
                <w:sz w:val="20"/>
                <w:szCs w:val="20"/>
              </w:rPr>
            </w:pPr>
            <w:r w:rsidRPr="000347F7">
              <w:rPr>
                <w:rFonts w:ascii="Times New Roman" w:hAnsi="Times New Roman" w:cs="Times New Roman"/>
                <w:sz w:val="20"/>
                <w:szCs w:val="20"/>
              </w:rPr>
              <w:t>128,141,943</w:t>
            </w:r>
          </w:p>
        </w:tc>
      </w:tr>
      <w:tr w:rsidR="004D22BA" w:rsidRPr="000347F7" w14:paraId="25C0BB18" w14:textId="77777777" w:rsidTr="00035C58">
        <w:tc>
          <w:tcPr>
            <w:tcW w:w="3116" w:type="dxa"/>
            <w:vAlign w:val="center"/>
          </w:tcPr>
          <w:p w14:paraId="5E43446B" w14:textId="77777777" w:rsidR="004D22BA" w:rsidRPr="000347F7" w:rsidRDefault="004D22BA" w:rsidP="00035C58">
            <w:pPr>
              <w:spacing w:line="276" w:lineRule="auto"/>
              <w:ind w:left="161"/>
              <w:rPr>
                <w:rFonts w:ascii="Times New Roman" w:hAnsi="Times New Roman" w:cs="Times New Roman"/>
                <w:sz w:val="20"/>
                <w:szCs w:val="20"/>
              </w:rPr>
            </w:pPr>
          </w:p>
        </w:tc>
        <w:tc>
          <w:tcPr>
            <w:tcW w:w="3634" w:type="dxa"/>
            <w:vAlign w:val="center"/>
          </w:tcPr>
          <w:p w14:paraId="55A493A3" w14:textId="77777777" w:rsidR="004D22BA" w:rsidRPr="000347F7" w:rsidRDefault="004D22BA" w:rsidP="00035C58">
            <w:pPr>
              <w:spacing w:line="276" w:lineRule="auto"/>
              <w:jc w:val="center"/>
              <w:rPr>
                <w:rFonts w:ascii="Times New Roman" w:hAnsi="Times New Roman" w:cs="Times New Roman"/>
                <w:sz w:val="20"/>
                <w:szCs w:val="20"/>
              </w:rPr>
            </w:pPr>
          </w:p>
        </w:tc>
      </w:tr>
    </w:tbl>
    <w:p w14:paraId="35E651DA" w14:textId="4D710A34" w:rsidR="004D22BA" w:rsidRDefault="003316C6" w:rsidP="00ED0387">
      <w:pPr>
        <w:pStyle w:val="AMIABodyText"/>
        <w:spacing w:after="0"/>
      </w:pPr>
      <w:r w:rsidRPr="003316C6">
        <w:rPr>
          <w:b/>
          <w:bCs/>
        </w:rPr>
        <w:t>Table 1</w:t>
      </w:r>
      <w:r w:rsidRPr="003316C6">
        <w:t>. Population statistics for the OMOP implementation at Texas Health Resources (THR) and the University of Texas Southwestern Medical Center (UTSW).</w:t>
      </w:r>
    </w:p>
    <w:p w14:paraId="3BA47447" w14:textId="77777777" w:rsidR="003316C6" w:rsidRDefault="003316C6" w:rsidP="00ED0387">
      <w:pPr>
        <w:pStyle w:val="AMIABodyText"/>
        <w:spacing w:after="0"/>
      </w:pPr>
    </w:p>
    <w:p w14:paraId="4834B9BB" w14:textId="17CB67A3" w:rsidR="00EC2E73" w:rsidRDefault="00EC2E73" w:rsidP="00ED0387">
      <w:pPr>
        <w:pStyle w:val="AMIABodyText"/>
        <w:spacing w:after="0"/>
      </w:pPr>
      <w:r w:rsidRPr="00EC2E73">
        <w:t xml:space="preserve">In our study, the time required for ETL completion for THR is on average </w:t>
      </w:r>
      <w:r w:rsidRPr="002835C5">
        <w:t>7-8 hours</w:t>
      </w:r>
      <w:r w:rsidRPr="00EC2E73">
        <w:t xml:space="preserve"> and is completed on a weekly basis.  For UTSW, ETL completion takes on average </w:t>
      </w:r>
      <w:r w:rsidRPr="002835C5">
        <w:t>5-6 hours</w:t>
      </w:r>
      <w:r w:rsidRPr="00EC2E73">
        <w:t xml:space="preserve"> and occurs nightly.  UTSW is able to run ETL nightly due to shorter completion times as well as smaller patient populations</w:t>
      </w:r>
      <w:r w:rsidR="00550CDC">
        <w:t xml:space="preserve">, while THR must run their ETL process in batches of </w:t>
      </w:r>
      <w:r w:rsidR="00B33883">
        <w:t>six-month</w:t>
      </w:r>
      <w:r w:rsidR="00550CDC">
        <w:t xml:space="preserve"> time period</w:t>
      </w:r>
      <w:r w:rsidR="00B33883">
        <w:t>s due to the size of their patient populations</w:t>
      </w:r>
      <w:r w:rsidRPr="00EC2E73">
        <w:t xml:space="preserve">.  </w:t>
      </w:r>
      <w:r w:rsidR="000C54E2">
        <w:t xml:space="preserve">This discrepancy can </w:t>
      </w:r>
      <w:r w:rsidR="00481FB8">
        <w:t>be</w:t>
      </w:r>
      <w:r w:rsidR="000C54E2">
        <w:t xml:space="preserve"> seen when </w:t>
      </w:r>
      <w:r w:rsidR="00826B0D">
        <w:t xml:space="preserve">examining the performance metrics for the </w:t>
      </w:r>
      <w:r w:rsidR="00481FB8">
        <w:t xml:space="preserve">ETL of one of the OMOP CDM tables, </w:t>
      </w:r>
      <w:proofErr w:type="spellStart"/>
      <w:r w:rsidR="00481FB8">
        <w:t>OmopConditionOccurrenceFactX</w:t>
      </w:r>
      <w:proofErr w:type="spellEnd"/>
      <w:r w:rsidR="00481FB8">
        <w:t xml:space="preserve"> (Table 2).  </w:t>
      </w:r>
      <w:r w:rsidRPr="00EC2E73">
        <w:t xml:space="preserve">To demonstrate the effectiveness of the ETL process and its ability to transform data accurately into the OMOP CDM, we used values presented from the Data Quality Dashboard which shows that for THR and UTSW we generated data quality assessment values of 97% and 98%, respectively (Table </w:t>
      </w:r>
      <w:r w:rsidR="00CE3771">
        <w:t>3</w:t>
      </w:r>
      <w:r w:rsidRPr="00EC2E73">
        <w:t>).  We also presented values for plausibility (the believability of the data), conformance (adherence to standards), and completeness (presence of data), each of which demonstrated values over 90% with one exception.</w:t>
      </w:r>
    </w:p>
    <w:p w14:paraId="59B4787B" w14:textId="77777777" w:rsidR="00CE3771" w:rsidRDefault="00CE3771" w:rsidP="00ED0387">
      <w:pPr>
        <w:pStyle w:val="AMIABodyText"/>
        <w:spacing w:after="0"/>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116"/>
        <w:gridCol w:w="3634"/>
      </w:tblGrid>
      <w:tr w:rsidR="00D46783" w:rsidRPr="000347F7" w14:paraId="7C78F999" w14:textId="77777777" w:rsidTr="00035C58">
        <w:tc>
          <w:tcPr>
            <w:tcW w:w="6750" w:type="dxa"/>
            <w:gridSpan w:val="2"/>
            <w:vAlign w:val="center"/>
          </w:tcPr>
          <w:p w14:paraId="2A7242CA" w14:textId="77777777" w:rsidR="00D46783" w:rsidRPr="000347F7" w:rsidRDefault="00D46783" w:rsidP="00035C58">
            <w:pPr>
              <w:spacing w:line="276" w:lineRule="auto"/>
              <w:rPr>
                <w:rFonts w:ascii="Times New Roman" w:hAnsi="Times New Roman" w:cs="Times New Roman"/>
                <w:b/>
                <w:bCs/>
                <w:sz w:val="20"/>
                <w:szCs w:val="20"/>
              </w:rPr>
            </w:pPr>
            <w:proofErr w:type="spellStart"/>
            <w:r>
              <w:rPr>
                <w:rFonts w:ascii="Times New Roman" w:hAnsi="Times New Roman" w:cs="Times New Roman"/>
                <w:b/>
                <w:bCs/>
                <w:sz w:val="20"/>
                <w:szCs w:val="20"/>
              </w:rPr>
              <w:t>OmopConditionOccurrenceFactX</w:t>
            </w:r>
            <w:proofErr w:type="spellEnd"/>
          </w:p>
        </w:tc>
      </w:tr>
      <w:tr w:rsidR="00D46783" w:rsidRPr="000347F7" w14:paraId="1EFCE1C5" w14:textId="77777777" w:rsidTr="00035C58">
        <w:tc>
          <w:tcPr>
            <w:tcW w:w="6750" w:type="dxa"/>
            <w:gridSpan w:val="2"/>
            <w:vAlign w:val="center"/>
          </w:tcPr>
          <w:p w14:paraId="480C67F4" w14:textId="77777777" w:rsidR="00D46783" w:rsidRPr="000347F7" w:rsidRDefault="00D46783" w:rsidP="00035C58">
            <w:pPr>
              <w:spacing w:line="276" w:lineRule="auto"/>
              <w:rPr>
                <w:rFonts w:ascii="Times New Roman" w:hAnsi="Times New Roman" w:cs="Times New Roman"/>
                <w:b/>
                <w:bCs/>
                <w:sz w:val="20"/>
                <w:szCs w:val="20"/>
              </w:rPr>
            </w:pPr>
            <w:r>
              <w:rPr>
                <w:rFonts w:ascii="Times New Roman" w:hAnsi="Times New Roman" w:cs="Times New Roman"/>
                <w:b/>
                <w:bCs/>
                <w:sz w:val="20"/>
                <w:szCs w:val="20"/>
              </w:rPr>
              <w:t>Duration</w:t>
            </w:r>
          </w:p>
        </w:tc>
      </w:tr>
      <w:tr w:rsidR="00D46783" w:rsidRPr="000347F7" w14:paraId="4D29E041" w14:textId="77777777" w:rsidTr="00035C58">
        <w:tc>
          <w:tcPr>
            <w:tcW w:w="3116" w:type="dxa"/>
            <w:vAlign w:val="center"/>
          </w:tcPr>
          <w:p w14:paraId="666E0C25" w14:textId="77777777" w:rsidR="00D46783" w:rsidRPr="000347F7" w:rsidRDefault="00D46783" w:rsidP="00035C58">
            <w:pPr>
              <w:spacing w:line="276" w:lineRule="auto"/>
              <w:ind w:left="161"/>
              <w:rPr>
                <w:rFonts w:ascii="Times New Roman" w:hAnsi="Times New Roman" w:cs="Times New Roman"/>
                <w:sz w:val="20"/>
                <w:szCs w:val="20"/>
              </w:rPr>
            </w:pPr>
            <w:r w:rsidRPr="000347F7">
              <w:rPr>
                <w:rFonts w:ascii="Times New Roman" w:hAnsi="Times New Roman" w:cs="Times New Roman"/>
                <w:sz w:val="20"/>
                <w:szCs w:val="20"/>
              </w:rPr>
              <w:t>Texas Health Resources (THR)</w:t>
            </w:r>
          </w:p>
        </w:tc>
        <w:tc>
          <w:tcPr>
            <w:tcW w:w="3634" w:type="dxa"/>
            <w:vAlign w:val="center"/>
          </w:tcPr>
          <w:p w14:paraId="26D4CF85" w14:textId="77777777" w:rsidR="00D46783" w:rsidRPr="000347F7" w:rsidRDefault="00D46783" w:rsidP="00035C58">
            <w:pPr>
              <w:spacing w:line="276" w:lineRule="auto"/>
              <w:jc w:val="center"/>
              <w:rPr>
                <w:rFonts w:ascii="Times New Roman" w:hAnsi="Times New Roman" w:cs="Times New Roman"/>
                <w:sz w:val="20"/>
                <w:szCs w:val="20"/>
              </w:rPr>
            </w:pPr>
            <w:r>
              <w:rPr>
                <w:rFonts w:ascii="Times New Roman" w:hAnsi="Times New Roman" w:cs="Times New Roman"/>
                <w:sz w:val="20"/>
                <w:szCs w:val="20"/>
              </w:rPr>
              <w:t>3h 1m</w:t>
            </w:r>
          </w:p>
        </w:tc>
      </w:tr>
      <w:tr w:rsidR="00D46783" w:rsidRPr="000347F7" w14:paraId="6629EA96" w14:textId="77777777" w:rsidTr="00035C58">
        <w:tc>
          <w:tcPr>
            <w:tcW w:w="3116" w:type="dxa"/>
            <w:vAlign w:val="center"/>
          </w:tcPr>
          <w:p w14:paraId="5A8D0DA1" w14:textId="77777777" w:rsidR="00D46783" w:rsidRPr="000347F7" w:rsidRDefault="00D46783" w:rsidP="00035C58">
            <w:pPr>
              <w:spacing w:line="276" w:lineRule="auto"/>
              <w:ind w:left="161"/>
              <w:rPr>
                <w:rFonts w:ascii="Times New Roman" w:hAnsi="Times New Roman" w:cs="Times New Roman"/>
                <w:sz w:val="20"/>
                <w:szCs w:val="20"/>
              </w:rPr>
            </w:pPr>
            <w:r w:rsidRPr="000347F7">
              <w:rPr>
                <w:rFonts w:ascii="Times New Roman" w:hAnsi="Times New Roman" w:cs="Times New Roman"/>
                <w:sz w:val="20"/>
                <w:szCs w:val="20"/>
              </w:rPr>
              <w:t>University of Texas Southwestern Medical Center (UTSW)</w:t>
            </w:r>
          </w:p>
        </w:tc>
        <w:tc>
          <w:tcPr>
            <w:tcW w:w="3634" w:type="dxa"/>
            <w:vAlign w:val="center"/>
          </w:tcPr>
          <w:p w14:paraId="7050C888" w14:textId="77777777" w:rsidR="00D46783" w:rsidRPr="000347F7" w:rsidRDefault="00D46783" w:rsidP="00035C58">
            <w:pPr>
              <w:spacing w:line="276" w:lineRule="auto"/>
              <w:jc w:val="center"/>
              <w:rPr>
                <w:rFonts w:ascii="Times New Roman" w:hAnsi="Times New Roman" w:cs="Times New Roman"/>
                <w:sz w:val="20"/>
                <w:szCs w:val="20"/>
              </w:rPr>
            </w:pPr>
            <w:r>
              <w:rPr>
                <w:rFonts w:ascii="Times New Roman" w:hAnsi="Times New Roman" w:cs="Times New Roman"/>
                <w:sz w:val="20"/>
                <w:szCs w:val="20"/>
              </w:rPr>
              <w:t>3h 7m</w:t>
            </w:r>
          </w:p>
        </w:tc>
      </w:tr>
      <w:tr w:rsidR="00D46783" w:rsidRPr="000347F7" w14:paraId="7775E57E" w14:textId="77777777" w:rsidTr="00035C58">
        <w:tc>
          <w:tcPr>
            <w:tcW w:w="6750" w:type="dxa"/>
            <w:gridSpan w:val="2"/>
            <w:vAlign w:val="center"/>
          </w:tcPr>
          <w:p w14:paraId="71196CF5" w14:textId="77777777" w:rsidR="00D46783" w:rsidRPr="000347F7" w:rsidRDefault="00D46783" w:rsidP="00035C58">
            <w:pPr>
              <w:spacing w:line="276" w:lineRule="auto"/>
              <w:rPr>
                <w:rFonts w:ascii="Times New Roman" w:hAnsi="Times New Roman" w:cs="Times New Roman"/>
                <w:b/>
                <w:bCs/>
                <w:sz w:val="20"/>
                <w:szCs w:val="20"/>
              </w:rPr>
            </w:pPr>
            <w:r>
              <w:rPr>
                <w:rFonts w:ascii="Times New Roman" w:hAnsi="Times New Roman" w:cs="Times New Roman"/>
                <w:b/>
                <w:bCs/>
                <w:sz w:val="20"/>
                <w:szCs w:val="20"/>
              </w:rPr>
              <w:t>Rows extraction (n)</w:t>
            </w:r>
          </w:p>
        </w:tc>
      </w:tr>
      <w:tr w:rsidR="00D46783" w:rsidRPr="000347F7" w14:paraId="66A0EE66" w14:textId="77777777" w:rsidTr="00035C58">
        <w:tc>
          <w:tcPr>
            <w:tcW w:w="3116" w:type="dxa"/>
            <w:vAlign w:val="center"/>
          </w:tcPr>
          <w:p w14:paraId="00F20199" w14:textId="77777777" w:rsidR="00D46783" w:rsidRPr="000347F7" w:rsidRDefault="00D46783" w:rsidP="00035C58">
            <w:pPr>
              <w:spacing w:line="276" w:lineRule="auto"/>
              <w:ind w:left="161"/>
              <w:rPr>
                <w:rFonts w:ascii="Times New Roman" w:hAnsi="Times New Roman" w:cs="Times New Roman"/>
                <w:sz w:val="20"/>
                <w:szCs w:val="20"/>
              </w:rPr>
            </w:pPr>
            <w:r w:rsidRPr="000347F7">
              <w:rPr>
                <w:rFonts w:ascii="Times New Roman" w:hAnsi="Times New Roman" w:cs="Times New Roman"/>
                <w:sz w:val="20"/>
                <w:szCs w:val="20"/>
              </w:rPr>
              <w:t>Texas Health Resources (THR)</w:t>
            </w:r>
          </w:p>
        </w:tc>
        <w:tc>
          <w:tcPr>
            <w:tcW w:w="3634" w:type="dxa"/>
            <w:vAlign w:val="center"/>
          </w:tcPr>
          <w:p w14:paraId="5F33F092" w14:textId="77777777" w:rsidR="00D46783" w:rsidRPr="000347F7" w:rsidRDefault="00D46783" w:rsidP="00035C58">
            <w:pPr>
              <w:spacing w:line="276" w:lineRule="auto"/>
              <w:jc w:val="center"/>
              <w:rPr>
                <w:rFonts w:ascii="Times New Roman" w:hAnsi="Times New Roman" w:cs="Times New Roman"/>
                <w:sz w:val="20"/>
                <w:szCs w:val="20"/>
              </w:rPr>
            </w:pPr>
            <w:r>
              <w:rPr>
                <w:rFonts w:ascii="Times New Roman" w:hAnsi="Times New Roman" w:cs="Times New Roman"/>
                <w:sz w:val="20"/>
                <w:szCs w:val="20"/>
              </w:rPr>
              <w:t>246,266,249</w:t>
            </w:r>
          </w:p>
        </w:tc>
      </w:tr>
      <w:tr w:rsidR="00D46783" w:rsidRPr="000347F7" w14:paraId="355C9CCC" w14:textId="77777777" w:rsidTr="00035C58">
        <w:tc>
          <w:tcPr>
            <w:tcW w:w="3116" w:type="dxa"/>
            <w:vAlign w:val="center"/>
          </w:tcPr>
          <w:p w14:paraId="46E6B0CC" w14:textId="77777777" w:rsidR="00D46783" w:rsidRPr="000347F7" w:rsidRDefault="00D46783" w:rsidP="00035C58">
            <w:pPr>
              <w:spacing w:line="276" w:lineRule="auto"/>
              <w:ind w:left="161"/>
              <w:rPr>
                <w:rFonts w:ascii="Times New Roman" w:hAnsi="Times New Roman" w:cs="Times New Roman"/>
                <w:sz w:val="20"/>
                <w:szCs w:val="20"/>
              </w:rPr>
            </w:pPr>
            <w:r w:rsidRPr="000347F7">
              <w:rPr>
                <w:rFonts w:ascii="Times New Roman" w:hAnsi="Times New Roman" w:cs="Times New Roman"/>
                <w:sz w:val="20"/>
                <w:szCs w:val="20"/>
              </w:rPr>
              <w:t>University of Texas Southwestern Medical Center (UTSW)</w:t>
            </w:r>
          </w:p>
        </w:tc>
        <w:tc>
          <w:tcPr>
            <w:tcW w:w="3634" w:type="dxa"/>
            <w:vAlign w:val="center"/>
          </w:tcPr>
          <w:p w14:paraId="1B19519C" w14:textId="77777777" w:rsidR="00D46783" w:rsidRPr="000347F7" w:rsidRDefault="00D46783" w:rsidP="00035C58">
            <w:pPr>
              <w:spacing w:line="276" w:lineRule="auto"/>
              <w:jc w:val="center"/>
              <w:rPr>
                <w:rFonts w:ascii="Times New Roman" w:hAnsi="Times New Roman" w:cs="Times New Roman"/>
                <w:sz w:val="20"/>
                <w:szCs w:val="20"/>
              </w:rPr>
            </w:pPr>
            <w:r>
              <w:rPr>
                <w:rFonts w:ascii="Times New Roman" w:hAnsi="Times New Roman" w:cs="Times New Roman"/>
                <w:sz w:val="20"/>
                <w:szCs w:val="20"/>
              </w:rPr>
              <w:t>269,116,345</w:t>
            </w:r>
          </w:p>
        </w:tc>
      </w:tr>
      <w:tr w:rsidR="00D46783" w:rsidRPr="000347F7" w14:paraId="13A7A35E" w14:textId="77777777" w:rsidTr="00035C58">
        <w:tc>
          <w:tcPr>
            <w:tcW w:w="6750" w:type="dxa"/>
            <w:gridSpan w:val="2"/>
            <w:vAlign w:val="center"/>
          </w:tcPr>
          <w:p w14:paraId="3CF810C1" w14:textId="77777777" w:rsidR="00D46783" w:rsidRPr="000347F7" w:rsidRDefault="00D46783" w:rsidP="00035C58">
            <w:pPr>
              <w:spacing w:line="276" w:lineRule="auto"/>
              <w:rPr>
                <w:rFonts w:ascii="Times New Roman" w:hAnsi="Times New Roman" w:cs="Times New Roman"/>
                <w:b/>
                <w:bCs/>
                <w:sz w:val="20"/>
                <w:szCs w:val="20"/>
              </w:rPr>
            </w:pPr>
            <w:r>
              <w:rPr>
                <w:rFonts w:ascii="Times New Roman" w:hAnsi="Times New Roman" w:cs="Times New Roman"/>
                <w:b/>
                <w:bCs/>
                <w:sz w:val="20"/>
                <w:szCs w:val="20"/>
              </w:rPr>
              <w:t>Records created (n)</w:t>
            </w:r>
          </w:p>
        </w:tc>
      </w:tr>
      <w:tr w:rsidR="00D46783" w:rsidRPr="000347F7" w14:paraId="7C11DDA8" w14:textId="77777777" w:rsidTr="00035C58">
        <w:tc>
          <w:tcPr>
            <w:tcW w:w="3116" w:type="dxa"/>
            <w:vAlign w:val="center"/>
          </w:tcPr>
          <w:p w14:paraId="21330C2A" w14:textId="77777777" w:rsidR="00D46783" w:rsidRPr="000347F7" w:rsidRDefault="00D46783" w:rsidP="00035C58">
            <w:pPr>
              <w:spacing w:line="276" w:lineRule="auto"/>
              <w:ind w:left="161"/>
              <w:rPr>
                <w:rFonts w:ascii="Times New Roman" w:hAnsi="Times New Roman" w:cs="Times New Roman"/>
                <w:sz w:val="20"/>
                <w:szCs w:val="20"/>
              </w:rPr>
            </w:pPr>
            <w:r w:rsidRPr="000347F7">
              <w:rPr>
                <w:rFonts w:ascii="Times New Roman" w:hAnsi="Times New Roman" w:cs="Times New Roman"/>
                <w:sz w:val="20"/>
                <w:szCs w:val="20"/>
              </w:rPr>
              <w:t>Texas Health Resources (THR)</w:t>
            </w:r>
          </w:p>
        </w:tc>
        <w:tc>
          <w:tcPr>
            <w:tcW w:w="3634" w:type="dxa"/>
            <w:vAlign w:val="center"/>
          </w:tcPr>
          <w:p w14:paraId="3E6677E2" w14:textId="77777777" w:rsidR="00D46783" w:rsidRPr="000347F7" w:rsidRDefault="00D46783" w:rsidP="00035C58">
            <w:pPr>
              <w:spacing w:line="276" w:lineRule="auto"/>
              <w:jc w:val="center"/>
              <w:rPr>
                <w:rFonts w:ascii="Times New Roman" w:hAnsi="Times New Roman" w:cs="Times New Roman"/>
                <w:sz w:val="20"/>
                <w:szCs w:val="20"/>
              </w:rPr>
            </w:pPr>
            <w:r>
              <w:rPr>
                <w:rFonts w:ascii="Times New Roman" w:hAnsi="Times New Roman" w:cs="Times New Roman"/>
                <w:sz w:val="20"/>
                <w:szCs w:val="20"/>
              </w:rPr>
              <w:t>766,066</w:t>
            </w:r>
          </w:p>
        </w:tc>
      </w:tr>
      <w:tr w:rsidR="00D46783" w:rsidRPr="000347F7" w14:paraId="28530877" w14:textId="77777777" w:rsidTr="00035C58">
        <w:tc>
          <w:tcPr>
            <w:tcW w:w="3116" w:type="dxa"/>
            <w:vAlign w:val="center"/>
          </w:tcPr>
          <w:p w14:paraId="54717DF3" w14:textId="77777777" w:rsidR="00D46783" w:rsidRPr="000347F7" w:rsidRDefault="00D46783" w:rsidP="00035C58">
            <w:pPr>
              <w:spacing w:line="276" w:lineRule="auto"/>
              <w:ind w:left="161"/>
              <w:rPr>
                <w:rFonts w:ascii="Times New Roman" w:hAnsi="Times New Roman" w:cs="Times New Roman"/>
                <w:sz w:val="20"/>
                <w:szCs w:val="20"/>
              </w:rPr>
            </w:pPr>
            <w:r w:rsidRPr="000347F7">
              <w:rPr>
                <w:rFonts w:ascii="Times New Roman" w:hAnsi="Times New Roman" w:cs="Times New Roman"/>
                <w:sz w:val="20"/>
                <w:szCs w:val="20"/>
              </w:rPr>
              <w:t>University of Texas Southwestern Medical Center (UTSW)</w:t>
            </w:r>
          </w:p>
        </w:tc>
        <w:tc>
          <w:tcPr>
            <w:tcW w:w="3634" w:type="dxa"/>
            <w:vAlign w:val="center"/>
          </w:tcPr>
          <w:p w14:paraId="20F9C04D" w14:textId="77777777" w:rsidR="00D46783" w:rsidRPr="000347F7" w:rsidRDefault="00D46783" w:rsidP="00035C58">
            <w:pPr>
              <w:spacing w:line="276" w:lineRule="auto"/>
              <w:jc w:val="center"/>
              <w:rPr>
                <w:rFonts w:ascii="Times New Roman" w:hAnsi="Times New Roman" w:cs="Times New Roman"/>
                <w:sz w:val="20"/>
                <w:szCs w:val="20"/>
              </w:rPr>
            </w:pPr>
            <w:r>
              <w:rPr>
                <w:rFonts w:ascii="Times New Roman" w:hAnsi="Times New Roman" w:cs="Times New Roman"/>
                <w:sz w:val="20"/>
                <w:szCs w:val="20"/>
              </w:rPr>
              <w:t>20,699</w:t>
            </w:r>
          </w:p>
        </w:tc>
      </w:tr>
      <w:tr w:rsidR="00D46783" w:rsidRPr="000347F7" w14:paraId="6E574117" w14:textId="77777777" w:rsidTr="00035C58">
        <w:tc>
          <w:tcPr>
            <w:tcW w:w="6750" w:type="dxa"/>
            <w:gridSpan w:val="2"/>
            <w:vAlign w:val="center"/>
          </w:tcPr>
          <w:p w14:paraId="14788371" w14:textId="77777777" w:rsidR="00D46783" w:rsidRPr="000347F7" w:rsidRDefault="00D46783" w:rsidP="00035C58">
            <w:pPr>
              <w:spacing w:line="276" w:lineRule="auto"/>
              <w:rPr>
                <w:rFonts w:ascii="Times New Roman" w:hAnsi="Times New Roman" w:cs="Times New Roman"/>
                <w:b/>
                <w:bCs/>
                <w:sz w:val="20"/>
                <w:szCs w:val="20"/>
              </w:rPr>
            </w:pPr>
            <w:r>
              <w:rPr>
                <w:rFonts w:ascii="Times New Roman" w:hAnsi="Times New Roman" w:cs="Times New Roman"/>
                <w:b/>
                <w:bCs/>
                <w:sz w:val="20"/>
                <w:szCs w:val="20"/>
              </w:rPr>
              <w:t>Records modified (n)</w:t>
            </w:r>
          </w:p>
        </w:tc>
      </w:tr>
      <w:tr w:rsidR="00D46783" w:rsidRPr="000347F7" w14:paraId="2E365797" w14:textId="77777777" w:rsidTr="00035C58">
        <w:tc>
          <w:tcPr>
            <w:tcW w:w="3116" w:type="dxa"/>
            <w:vAlign w:val="center"/>
          </w:tcPr>
          <w:p w14:paraId="246914A8" w14:textId="77777777" w:rsidR="00D46783" w:rsidRPr="000347F7" w:rsidRDefault="00D46783" w:rsidP="00035C58">
            <w:pPr>
              <w:spacing w:line="276" w:lineRule="auto"/>
              <w:ind w:left="161"/>
              <w:rPr>
                <w:rFonts w:ascii="Times New Roman" w:hAnsi="Times New Roman" w:cs="Times New Roman"/>
                <w:sz w:val="20"/>
                <w:szCs w:val="20"/>
              </w:rPr>
            </w:pPr>
            <w:r w:rsidRPr="000347F7">
              <w:rPr>
                <w:rFonts w:ascii="Times New Roman" w:hAnsi="Times New Roman" w:cs="Times New Roman"/>
                <w:sz w:val="20"/>
                <w:szCs w:val="20"/>
              </w:rPr>
              <w:t>Texas Health Resources (THR)</w:t>
            </w:r>
          </w:p>
        </w:tc>
        <w:tc>
          <w:tcPr>
            <w:tcW w:w="3634" w:type="dxa"/>
            <w:vAlign w:val="center"/>
          </w:tcPr>
          <w:p w14:paraId="6E4A29E6" w14:textId="77777777" w:rsidR="00D46783" w:rsidRPr="000347F7" w:rsidRDefault="00D46783" w:rsidP="00035C58">
            <w:pPr>
              <w:spacing w:line="276" w:lineRule="auto"/>
              <w:jc w:val="center"/>
              <w:rPr>
                <w:rFonts w:ascii="Times New Roman" w:hAnsi="Times New Roman" w:cs="Times New Roman"/>
                <w:sz w:val="20"/>
                <w:szCs w:val="20"/>
              </w:rPr>
            </w:pPr>
            <w:r>
              <w:rPr>
                <w:rFonts w:ascii="Times New Roman" w:hAnsi="Times New Roman" w:cs="Times New Roman"/>
                <w:sz w:val="20"/>
                <w:szCs w:val="20"/>
              </w:rPr>
              <w:t>206,356</w:t>
            </w:r>
          </w:p>
        </w:tc>
      </w:tr>
      <w:tr w:rsidR="00D46783" w:rsidRPr="000347F7" w14:paraId="3A95D155" w14:textId="77777777" w:rsidTr="00035C58">
        <w:tc>
          <w:tcPr>
            <w:tcW w:w="3116" w:type="dxa"/>
            <w:vAlign w:val="center"/>
          </w:tcPr>
          <w:p w14:paraId="75CAF938" w14:textId="77777777" w:rsidR="00D46783" w:rsidRPr="000347F7" w:rsidRDefault="00D46783" w:rsidP="00035C58">
            <w:pPr>
              <w:spacing w:line="276" w:lineRule="auto"/>
              <w:ind w:left="161"/>
              <w:rPr>
                <w:rFonts w:ascii="Times New Roman" w:hAnsi="Times New Roman" w:cs="Times New Roman"/>
                <w:sz w:val="20"/>
                <w:szCs w:val="20"/>
              </w:rPr>
            </w:pPr>
            <w:r w:rsidRPr="000347F7">
              <w:rPr>
                <w:rFonts w:ascii="Times New Roman" w:hAnsi="Times New Roman" w:cs="Times New Roman"/>
                <w:sz w:val="20"/>
                <w:szCs w:val="20"/>
              </w:rPr>
              <w:lastRenderedPageBreak/>
              <w:t>University of Texas Southwestern Medical Center (UTSW)</w:t>
            </w:r>
          </w:p>
        </w:tc>
        <w:tc>
          <w:tcPr>
            <w:tcW w:w="3634" w:type="dxa"/>
            <w:vAlign w:val="center"/>
          </w:tcPr>
          <w:p w14:paraId="06C7D07C" w14:textId="77777777" w:rsidR="00D46783" w:rsidRPr="000347F7" w:rsidRDefault="00D46783" w:rsidP="00035C58">
            <w:pPr>
              <w:spacing w:line="276" w:lineRule="auto"/>
              <w:jc w:val="center"/>
              <w:rPr>
                <w:rFonts w:ascii="Times New Roman" w:hAnsi="Times New Roman" w:cs="Times New Roman"/>
                <w:sz w:val="20"/>
                <w:szCs w:val="20"/>
              </w:rPr>
            </w:pPr>
            <w:r>
              <w:rPr>
                <w:rFonts w:ascii="Times New Roman" w:hAnsi="Times New Roman" w:cs="Times New Roman"/>
                <w:sz w:val="20"/>
                <w:szCs w:val="20"/>
              </w:rPr>
              <w:t>10,449</w:t>
            </w:r>
          </w:p>
        </w:tc>
      </w:tr>
      <w:tr w:rsidR="00D46783" w:rsidRPr="000347F7" w14:paraId="0E1712C1" w14:textId="77777777" w:rsidTr="00035C58">
        <w:tc>
          <w:tcPr>
            <w:tcW w:w="3116" w:type="dxa"/>
            <w:vAlign w:val="center"/>
          </w:tcPr>
          <w:p w14:paraId="208C6AC5" w14:textId="77777777" w:rsidR="00D46783" w:rsidRPr="000347F7" w:rsidRDefault="00D46783" w:rsidP="00035C58">
            <w:pPr>
              <w:spacing w:line="276" w:lineRule="auto"/>
              <w:ind w:left="161"/>
              <w:rPr>
                <w:rFonts w:ascii="Times New Roman" w:hAnsi="Times New Roman" w:cs="Times New Roman"/>
                <w:sz w:val="20"/>
                <w:szCs w:val="20"/>
              </w:rPr>
            </w:pPr>
          </w:p>
        </w:tc>
        <w:tc>
          <w:tcPr>
            <w:tcW w:w="3634" w:type="dxa"/>
            <w:vAlign w:val="center"/>
          </w:tcPr>
          <w:p w14:paraId="45E8C695" w14:textId="77777777" w:rsidR="00D46783" w:rsidRPr="000347F7" w:rsidRDefault="00D46783" w:rsidP="00035C58">
            <w:pPr>
              <w:spacing w:line="276" w:lineRule="auto"/>
              <w:jc w:val="center"/>
              <w:rPr>
                <w:rFonts w:ascii="Times New Roman" w:hAnsi="Times New Roman" w:cs="Times New Roman"/>
                <w:sz w:val="20"/>
                <w:szCs w:val="20"/>
              </w:rPr>
            </w:pPr>
          </w:p>
        </w:tc>
      </w:tr>
    </w:tbl>
    <w:p w14:paraId="4F1353DB" w14:textId="319B2338" w:rsidR="00CE3771" w:rsidRDefault="00D46783" w:rsidP="00ED0387">
      <w:pPr>
        <w:pStyle w:val="AMIABodyText"/>
        <w:spacing w:after="0"/>
      </w:pPr>
      <w:r w:rsidRPr="76C0F99D">
        <w:rPr>
          <w:b/>
          <w:bCs/>
        </w:rPr>
        <w:t>Table 2</w:t>
      </w:r>
      <w:r>
        <w:t xml:space="preserve">.  </w:t>
      </w:r>
      <w:r w:rsidR="007B0264">
        <w:t xml:space="preserve">Performance metrics for the ETL of </w:t>
      </w:r>
      <w:r w:rsidR="006A6EFC">
        <w:t xml:space="preserve">OMOP CDM table, </w:t>
      </w:r>
      <w:proofErr w:type="spellStart"/>
      <w:r w:rsidR="006A6EFC">
        <w:t>OmopConditionOccurrenceFactX</w:t>
      </w:r>
      <w:proofErr w:type="spellEnd"/>
      <w:r w:rsidR="006A6EFC">
        <w:t xml:space="preserve"> for both Texas Health Resources</w:t>
      </w:r>
      <w:r w:rsidR="6C6247EC">
        <w:t>,</w:t>
      </w:r>
      <w:r w:rsidR="006A6EFC">
        <w:t xml:space="preserve"> </w:t>
      </w:r>
      <w:r w:rsidR="64AF37DF">
        <w:t>ex</w:t>
      </w:r>
      <w:r w:rsidR="6F5980E6">
        <w:t xml:space="preserve">ecuted on </w:t>
      </w:r>
      <w:r w:rsidR="64AF37DF">
        <w:t xml:space="preserve">March 16, 2025, </w:t>
      </w:r>
      <w:r w:rsidR="006A6EFC">
        <w:t xml:space="preserve">and the University of Texas Southwestern Medical </w:t>
      </w:r>
      <w:r w:rsidR="72EFB65A">
        <w:t>Center, executed on March 24, 2025</w:t>
      </w:r>
      <w:r w:rsidR="006A6EFC">
        <w:t>.</w:t>
      </w:r>
    </w:p>
    <w:p w14:paraId="69FD9276" w14:textId="77777777" w:rsidR="002D5627" w:rsidRDefault="002D5627" w:rsidP="00ED0387">
      <w:pPr>
        <w:pStyle w:val="AMIABodyText"/>
        <w:spacing w:after="0"/>
      </w:pPr>
    </w:p>
    <w:p w14:paraId="33172F4C" w14:textId="77777777" w:rsidR="00EC2E73" w:rsidRDefault="00EC2E73" w:rsidP="00ED0387">
      <w:pPr>
        <w:pStyle w:val="AMIABodyText"/>
        <w:spacing w:after="0"/>
      </w:pPr>
    </w:p>
    <w:tbl>
      <w:tblPr>
        <w:tblStyle w:val="TableGrid"/>
        <w:tblW w:w="5000"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671"/>
        <w:gridCol w:w="679"/>
        <w:gridCol w:w="636"/>
        <w:gridCol w:w="685"/>
        <w:gridCol w:w="681"/>
        <w:gridCol w:w="671"/>
        <w:gridCol w:w="569"/>
        <w:gridCol w:w="680"/>
        <w:gridCol w:w="674"/>
        <w:gridCol w:w="616"/>
        <w:gridCol w:w="550"/>
        <w:gridCol w:w="654"/>
        <w:gridCol w:w="594"/>
      </w:tblGrid>
      <w:tr w:rsidR="004D1167" w:rsidRPr="004D1167" w14:paraId="40126711" w14:textId="77777777" w:rsidTr="005E036D">
        <w:trPr>
          <w:trHeight w:val="368"/>
        </w:trPr>
        <w:tc>
          <w:tcPr>
            <w:tcW w:w="5000" w:type="pct"/>
            <w:gridSpan w:val="13"/>
            <w:tcBorders>
              <w:top w:val="single" w:sz="4" w:space="0" w:color="auto"/>
              <w:bottom w:val="single" w:sz="4" w:space="0" w:color="auto"/>
            </w:tcBorders>
            <w:vAlign w:val="center"/>
          </w:tcPr>
          <w:p w14:paraId="761FE147" w14:textId="77777777" w:rsidR="004D1167" w:rsidRPr="004D1167" w:rsidRDefault="004D1167" w:rsidP="00035C58">
            <w:pPr>
              <w:spacing w:line="276" w:lineRule="auto"/>
              <w:rPr>
                <w:rFonts w:ascii="Times New Roman" w:hAnsi="Times New Roman" w:cs="Times New Roman"/>
                <w:b/>
                <w:bCs/>
                <w:sz w:val="20"/>
                <w:szCs w:val="20"/>
              </w:rPr>
            </w:pPr>
            <w:r w:rsidRPr="004D1167">
              <w:rPr>
                <w:rFonts w:ascii="Times New Roman" w:hAnsi="Times New Roman" w:cs="Times New Roman"/>
                <w:b/>
                <w:bCs/>
                <w:sz w:val="20"/>
                <w:szCs w:val="20"/>
              </w:rPr>
              <w:t>Texas Health Resources</w:t>
            </w:r>
          </w:p>
        </w:tc>
      </w:tr>
      <w:tr w:rsidR="004D1167" w:rsidRPr="004D1167" w14:paraId="424B105F" w14:textId="77777777" w:rsidTr="00F0247C">
        <w:trPr>
          <w:trHeight w:val="579"/>
        </w:trPr>
        <w:tc>
          <w:tcPr>
            <w:tcW w:w="898" w:type="pct"/>
            <w:vMerge w:val="restart"/>
            <w:tcBorders>
              <w:top w:val="single" w:sz="4" w:space="0" w:color="auto"/>
              <w:right w:val="single" w:sz="4" w:space="0" w:color="auto"/>
            </w:tcBorders>
            <w:vAlign w:val="center"/>
          </w:tcPr>
          <w:p w14:paraId="1D08BDD6" w14:textId="77777777" w:rsidR="004D1167" w:rsidRPr="004D1167" w:rsidRDefault="004D1167" w:rsidP="00035C58">
            <w:pPr>
              <w:spacing w:line="276" w:lineRule="auto"/>
              <w:jc w:val="center"/>
              <w:rPr>
                <w:rFonts w:ascii="Times New Roman" w:hAnsi="Times New Roman" w:cs="Times New Roman"/>
                <w:b/>
                <w:bCs/>
                <w:sz w:val="20"/>
                <w:szCs w:val="20"/>
              </w:rPr>
            </w:pPr>
          </w:p>
        </w:tc>
        <w:tc>
          <w:tcPr>
            <w:tcW w:w="1453" w:type="pct"/>
            <w:gridSpan w:val="4"/>
            <w:tcBorders>
              <w:top w:val="single" w:sz="4" w:space="0" w:color="auto"/>
              <w:left w:val="single" w:sz="4" w:space="0" w:color="auto"/>
              <w:bottom w:val="nil"/>
              <w:right w:val="single" w:sz="4" w:space="0" w:color="auto"/>
            </w:tcBorders>
            <w:vAlign w:val="center"/>
          </w:tcPr>
          <w:p w14:paraId="7367793B"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Verification</w:t>
            </w:r>
          </w:p>
        </w:tc>
        <w:tc>
          <w:tcPr>
            <w:tcW w:w="1406" w:type="pct"/>
            <w:gridSpan w:val="4"/>
            <w:tcBorders>
              <w:top w:val="single" w:sz="4" w:space="0" w:color="auto"/>
              <w:left w:val="single" w:sz="4" w:space="0" w:color="auto"/>
              <w:bottom w:val="nil"/>
              <w:right w:val="single" w:sz="4" w:space="0" w:color="auto"/>
            </w:tcBorders>
            <w:vAlign w:val="center"/>
          </w:tcPr>
          <w:p w14:paraId="63A2B901"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Validation</w:t>
            </w:r>
          </w:p>
        </w:tc>
        <w:tc>
          <w:tcPr>
            <w:tcW w:w="1243" w:type="pct"/>
            <w:gridSpan w:val="4"/>
            <w:tcBorders>
              <w:top w:val="single" w:sz="4" w:space="0" w:color="auto"/>
              <w:left w:val="single" w:sz="4" w:space="0" w:color="auto"/>
              <w:bottom w:val="nil"/>
              <w:right w:val="single" w:sz="4" w:space="0" w:color="auto"/>
            </w:tcBorders>
            <w:vAlign w:val="center"/>
          </w:tcPr>
          <w:p w14:paraId="74A03CD8"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Total</w:t>
            </w:r>
          </w:p>
        </w:tc>
      </w:tr>
      <w:tr w:rsidR="004D1167" w:rsidRPr="004D1167" w14:paraId="3625E95D" w14:textId="77777777" w:rsidTr="005E036D">
        <w:trPr>
          <w:trHeight w:val="395"/>
        </w:trPr>
        <w:tc>
          <w:tcPr>
            <w:tcW w:w="898" w:type="pct"/>
            <w:vMerge/>
            <w:tcBorders>
              <w:bottom w:val="single" w:sz="4" w:space="0" w:color="auto"/>
              <w:right w:val="single" w:sz="4" w:space="0" w:color="auto"/>
            </w:tcBorders>
            <w:vAlign w:val="center"/>
          </w:tcPr>
          <w:p w14:paraId="54BFE78C" w14:textId="77777777" w:rsidR="004D1167" w:rsidRPr="004D1167" w:rsidRDefault="004D1167" w:rsidP="00035C58">
            <w:pPr>
              <w:spacing w:line="276" w:lineRule="auto"/>
              <w:jc w:val="center"/>
              <w:rPr>
                <w:rFonts w:ascii="Times New Roman" w:hAnsi="Times New Roman" w:cs="Times New Roman"/>
                <w:b/>
                <w:bCs/>
                <w:sz w:val="20"/>
                <w:szCs w:val="20"/>
              </w:rPr>
            </w:pPr>
          </w:p>
        </w:tc>
        <w:tc>
          <w:tcPr>
            <w:tcW w:w="368" w:type="pct"/>
            <w:tcBorders>
              <w:top w:val="nil"/>
              <w:left w:val="single" w:sz="4" w:space="0" w:color="auto"/>
              <w:bottom w:val="single" w:sz="4" w:space="0" w:color="auto"/>
            </w:tcBorders>
            <w:vAlign w:val="center"/>
          </w:tcPr>
          <w:p w14:paraId="6122DA4C"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Pass</w:t>
            </w:r>
          </w:p>
          <w:p w14:paraId="111D79CB"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(n)</w:t>
            </w:r>
          </w:p>
        </w:tc>
        <w:tc>
          <w:tcPr>
            <w:tcW w:w="345" w:type="pct"/>
            <w:tcBorders>
              <w:top w:val="nil"/>
              <w:bottom w:val="single" w:sz="4" w:space="0" w:color="auto"/>
            </w:tcBorders>
            <w:vAlign w:val="center"/>
          </w:tcPr>
          <w:p w14:paraId="32D60E9A"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Fail</w:t>
            </w:r>
          </w:p>
          <w:p w14:paraId="58FB0A14"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(n)</w:t>
            </w:r>
          </w:p>
        </w:tc>
        <w:tc>
          <w:tcPr>
            <w:tcW w:w="371" w:type="pct"/>
            <w:tcBorders>
              <w:top w:val="nil"/>
              <w:bottom w:val="single" w:sz="4" w:space="0" w:color="auto"/>
            </w:tcBorders>
            <w:vAlign w:val="center"/>
          </w:tcPr>
          <w:p w14:paraId="31BE7CD4"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Total</w:t>
            </w:r>
          </w:p>
          <w:p w14:paraId="73C7A981"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(n)</w:t>
            </w:r>
          </w:p>
        </w:tc>
        <w:tc>
          <w:tcPr>
            <w:tcW w:w="369" w:type="pct"/>
            <w:tcBorders>
              <w:top w:val="nil"/>
              <w:bottom w:val="single" w:sz="4" w:space="0" w:color="auto"/>
              <w:right w:val="single" w:sz="4" w:space="0" w:color="auto"/>
            </w:tcBorders>
            <w:vAlign w:val="center"/>
          </w:tcPr>
          <w:p w14:paraId="4DBEA78F"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 Pass</w:t>
            </w:r>
          </w:p>
        </w:tc>
        <w:tc>
          <w:tcPr>
            <w:tcW w:w="364" w:type="pct"/>
            <w:tcBorders>
              <w:top w:val="nil"/>
              <w:left w:val="single" w:sz="4" w:space="0" w:color="auto"/>
              <w:bottom w:val="single" w:sz="4" w:space="0" w:color="auto"/>
            </w:tcBorders>
            <w:vAlign w:val="center"/>
          </w:tcPr>
          <w:p w14:paraId="262EEFCB"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Pass</w:t>
            </w:r>
          </w:p>
          <w:p w14:paraId="71B2063A"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(n)</w:t>
            </w:r>
          </w:p>
        </w:tc>
        <w:tc>
          <w:tcPr>
            <w:tcW w:w="309" w:type="pct"/>
            <w:tcBorders>
              <w:top w:val="nil"/>
              <w:bottom w:val="single" w:sz="4" w:space="0" w:color="auto"/>
            </w:tcBorders>
            <w:vAlign w:val="center"/>
          </w:tcPr>
          <w:p w14:paraId="55A5C3D9"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Fail</w:t>
            </w:r>
          </w:p>
          <w:p w14:paraId="53574182"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(n)</w:t>
            </w:r>
          </w:p>
        </w:tc>
        <w:tc>
          <w:tcPr>
            <w:tcW w:w="368" w:type="pct"/>
            <w:tcBorders>
              <w:top w:val="nil"/>
              <w:bottom w:val="single" w:sz="4" w:space="0" w:color="auto"/>
            </w:tcBorders>
            <w:vAlign w:val="center"/>
          </w:tcPr>
          <w:p w14:paraId="557904B9"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Total</w:t>
            </w:r>
          </w:p>
          <w:p w14:paraId="1EB707A6"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(n)</w:t>
            </w:r>
          </w:p>
        </w:tc>
        <w:tc>
          <w:tcPr>
            <w:tcW w:w="364" w:type="pct"/>
            <w:tcBorders>
              <w:top w:val="nil"/>
              <w:bottom w:val="single" w:sz="4" w:space="0" w:color="auto"/>
              <w:right w:val="single" w:sz="4" w:space="0" w:color="auto"/>
            </w:tcBorders>
            <w:vAlign w:val="center"/>
          </w:tcPr>
          <w:p w14:paraId="6EAD27FE"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 Pass</w:t>
            </w:r>
          </w:p>
        </w:tc>
        <w:tc>
          <w:tcPr>
            <w:tcW w:w="323" w:type="pct"/>
            <w:tcBorders>
              <w:top w:val="nil"/>
              <w:left w:val="single" w:sz="4" w:space="0" w:color="auto"/>
              <w:bottom w:val="single" w:sz="4" w:space="0" w:color="auto"/>
            </w:tcBorders>
            <w:vAlign w:val="center"/>
          </w:tcPr>
          <w:p w14:paraId="03E4406D"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Pass</w:t>
            </w:r>
          </w:p>
          <w:p w14:paraId="66884088"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(n)</w:t>
            </w:r>
          </w:p>
        </w:tc>
        <w:tc>
          <w:tcPr>
            <w:tcW w:w="272" w:type="pct"/>
            <w:tcBorders>
              <w:top w:val="nil"/>
              <w:bottom w:val="single" w:sz="4" w:space="0" w:color="auto"/>
            </w:tcBorders>
            <w:vAlign w:val="center"/>
          </w:tcPr>
          <w:p w14:paraId="14207E52"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Fail</w:t>
            </w:r>
          </w:p>
          <w:p w14:paraId="3D9ACC42"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(n)</w:t>
            </w:r>
          </w:p>
        </w:tc>
        <w:tc>
          <w:tcPr>
            <w:tcW w:w="326" w:type="pct"/>
            <w:tcBorders>
              <w:top w:val="nil"/>
              <w:bottom w:val="single" w:sz="4" w:space="0" w:color="auto"/>
            </w:tcBorders>
            <w:vAlign w:val="center"/>
          </w:tcPr>
          <w:p w14:paraId="769AC9DA"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Total</w:t>
            </w:r>
          </w:p>
          <w:p w14:paraId="2B3EB425"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(n)</w:t>
            </w:r>
          </w:p>
        </w:tc>
        <w:tc>
          <w:tcPr>
            <w:tcW w:w="323" w:type="pct"/>
            <w:tcBorders>
              <w:top w:val="nil"/>
              <w:bottom w:val="single" w:sz="4" w:space="0" w:color="auto"/>
              <w:right w:val="single" w:sz="4" w:space="0" w:color="auto"/>
            </w:tcBorders>
            <w:vAlign w:val="center"/>
          </w:tcPr>
          <w:p w14:paraId="1F91C456"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 Pass</w:t>
            </w:r>
          </w:p>
        </w:tc>
      </w:tr>
      <w:tr w:rsidR="004D1167" w:rsidRPr="004D1167" w14:paraId="2A5C4A88" w14:textId="77777777" w:rsidTr="005E036D">
        <w:trPr>
          <w:trHeight w:val="476"/>
        </w:trPr>
        <w:tc>
          <w:tcPr>
            <w:tcW w:w="898" w:type="pct"/>
            <w:tcBorders>
              <w:top w:val="single" w:sz="4" w:space="0" w:color="auto"/>
              <w:right w:val="single" w:sz="4" w:space="0" w:color="auto"/>
            </w:tcBorders>
            <w:vAlign w:val="center"/>
          </w:tcPr>
          <w:p w14:paraId="6776719F" w14:textId="77777777" w:rsidR="004D1167" w:rsidRPr="004D1167" w:rsidRDefault="004D1167" w:rsidP="00035C58">
            <w:pPr>
              <w:spacing w:line="276" w:lineRule="auto"/>
              <w:rPr>
                <w:rFonts w:ascii="Times New Roman" w:hAnsi="Times New Roman" w:cs="Times New Roman"/>
                <w:sz w:val="20"/>
                <w:szCs w:val="20"/>
              </w:rPr>
            </w:pPr>
            <w:r w:rsidRPr="004D1167">
              <w:rPr>
                <w:rFonts w:ascii="Times New Roman" w:hAnsi="Times New Roman" w:cs="Times New Roman"/>
                <w:sz w:val="20"/>
                <w:szCs w:val="20"/>
              </w:rPr>
              <w:t>Plausibility</w:t>
            </w:r>
          </w:p>
        </w:tc>
        <w:tc>
          <w:tcPr>
            <w:tcW w:w="368" w:type="pct"/>
            <w:tcBorders>
              <w:top w:val="single" w:sz="4" w:space="0" w:color="auto"/>
              <w:left w:val="single" w:sz="4" w:space="0" w:color="auto"/>
              <w:bottom w:val="single" w:sz="4" w:space="0" w:color="auto"/>
            </w:tcBorders>
            <w:vAlign w:val="center"/>
          </w:tcPr>
          <w:p w14:paraId="45F1BCA0"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237</w:t>
            </w:r>
          </w:p>
        </w:tc>
        <w:tc>
          <w:tcPr>
            <w:tcW w:w="345" w:type="pct"/>
            <w:tcBorders>
              <w:top w:val="single" w:sz="4" w:space="0" w:color="auto"/>
              <w:bottom w:val="single" w:sz="4" w:space="0" w:color="auto"/>
            </w:tcBorders>
            <w:vAlign w:val="center"/>
          </w:tcPr>
          <w:p w14:paraId="65DE1420"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5</w:t>
            </w:r>
          </w:p>
        </w:tc>
        <w:tc>
          <w:tcPr>
            <w:tcW w:w="371" w:type="pct"/>
            <w:tcBorders>
              <w:top w:val="single" w:sz="4" w:space="0" w:color="auto"/>
              <w:bottom w:val="single" w:sz="4" w:space="0" w:color="auto"/>
            </w:tcBorders>
            <w:vAlign w:val="center"/>
          </w:tcPr>
          <w:p w14:paraId="13B6ECD7"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242</w:t>
            </w:r>
          </w:p>
        </w:tc>
        <w:tc>
          <w:tcPr>
            <w:tcW w:w="369" w:type="pct"/>
            <w:tcBorders>
              <w:top w:val="single" w:sz="4" w:space="0" w:color="auto"/>
              <w:bottom w:val="single" w:sz="4" w:space="0" w:color="auto"/>
              <w:right w:val="single" w:sz="4" w:space="0" w:color="auto"/>
            </w:tcBorders>
            <w:vAlign w:val="center"/>
          </w:tcPr>
          <w:p w14:paraId="6BA8A615"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98</w:t>
            </w:r>
          </w:p>
        </w:tc>
        <w:tc>
          <w:tcPr>
            <w:tcW w:w="364" w:type="pct"/>
            <w:tcBorders>
              <w:top w:val="single" w:sz="4" w:space="0" w:color="auto"/>
              <w:left w:val="single" w:sz="4" w:space="0" w:color="auto"/>
              <w:bottom w:val="single" w:sz="4" w:space="0" w:color="auto"/>
            </w:tcBorders>
            <w:vAlign w:val="center"/>
          </w:tcPr>
          <w:p w14:paraId="3FF85363"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0</w:t>
            </w:r>
          </w:p>
        </w:tc>
        <w:tc>
          <w:tcPr>
            <w:tcW w:w="309" w:type="pct"/>
            <w:tcBorders>
              <w:top w:val="single" w:sz="4" w:space="0" w:color="auto"/>
              <w:bottom w:val="single" w:sz="4" w:space="0" w:color="auto"/>
            </w:tcBorders>
            <w:vAlign w:val="center"/>
          </w:tcPr>
          <w:p w14:paraId="34A3DC33"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0</w:t>
            </w:r>
          </w:p>
        </w:tc>
        <w:tc>
          <w:tcPr>
            <w:tcW w:w="368" w:type="pct"/>
            <w:tcBorders>
              <w:top w:val="single" w:sz="4" w:space="0" w:color="auto"/>
              <w:bottom w:val="single" w:sz="4" w:space="0" w:color="auto"/>
            </w:tcBorders>
            <w:vAlign w:val="center"/>
          </w:tcPr>
          <w:p w14:paraId="0D436533"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0</w:t>
            </w:r>
          </w:p>
        </w:tc>
        <w:tc>
          <w:tcPr>
            <w:tcW w:w="364" w:type="pct"/>
            <w:tcBorders>
              <w:top w:val="single" w:sz="4" w:space="0" w:color="auto"/>
              <w:bottom w:val="single" w:sz="4" w:space="0" w:color="auto"/>
              <w:right w:val="single" w:sz="4" w:space="0" w:color="auto"/>
            </w:tcBorders>
            <w:vAlign w:val="center"/>
          </w:tcPr>
          <w:p w14:paraId="6D8E12BE"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w:t>
            </w:r>
          </w:p>
        </w:tc>
        <w:tc>
          <w:tcPr>
            <w:tcW w:w="323" w:type="pct"/>
            <w:tcBorders>
              <w:top w:val="single" w:sz="4" w:space="0" w:color="auto"/>
              <w:left w:val="single" w:sz="4" w:space="0" w:color="auto"/>
              <w:bottom w:val="single" w:sz="4" w:space="0" w:color="auto"/>
            </w:tcBorders>
            <w:vAlign w:val="center"/>
          </w:tcPr>
          <w:p w14:paraId="7E71EC38"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237</w:t>
            </w:r>
          </w:p>
        </w:tc>
        <w:tc>
          <w:tcPr>
            <w:tcW w:w="272" w:type="pct"/>
            <w:tcBorders>
              <w:top w:val="single" w:sz="4" w:space="0" w:color="auto"/>
              <w:bottom w:val="single" w:sz="4" w:space="0" w:color="auto"/>
            </w:tcBorders>
            <w:vAlign w:val="center"/>
          </w:tcPr>
          <w:p w14:paraId="73802171"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5</w:t>
            </w:r>
          </w:p>
        </w:tc>
        <w:tc>
          <w:tcPr>
            <w:tcW w:w="326" w:type="pct"/>
            <w:tcBorders>
              <w:top w:val="single" w:sz="4" w:space="0" w:color="auto"/>
              <w:bottom w:val="single" w:sz="4" w:space="0" w:color="auto"/>
            </w:tcBorders>
            <w:vAlign w:val="center"/>
          </w:tcPr>
          <w:p w14:paraId="158FEB0F"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242</w:t>
            </w:r>
          </w:p>
        </w:tc>
        <w:tc>
          <w:tcPr>
            <w:tcW w:w="323" w:type="pct"/>
            <w:tcBorders>
              <w:top w:val="single" w:sz="4" w:space="0" w:color="auto"/>
              <w:bottom w:val="single" w:sz="4" w:space="0" w:color="auto"/>
              <w:right w:val="single" w:sz="4" w:space="0" w:color="auto"/>
            </w:tcBorders>
            <w:vAlign w:val="center"/>
          </w:tcPr>
          <w:p w14:paraId="4D394D6E"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98</w:t>
            </w:r>
          </w:p>
        </w:tc>
      </w:tr>
      <w:tr w:rsidR="004D1167" w:rsidRPr="004D1167" w14:paraId="7C58D47C" w14:textId="77777777" w:rsidTr="005E036D">
        <w:trPr>
          <w:trHeight w:val="440"/>
        </w:trPr>
        <w:tc>
          <w:tcPr>
            <w:tcW w:w="898" w:type="pct"/>
            <w:tcBorders>
              <w:right w:val="single" w:sz="4" w:space="0" w:color="auto"/>
            </w:tcBorders>
            <w:vAlign w:val="center"/>
          </w:tcPr>
          <w:p w14:paraId="31A40784" w14:textId="77777777" w:rsidR="004D1167" w:rsidRPr="004D1167" w:rsidRDefault="004D1167" w:rsidP="00035C58">
            <w:pPr>
              <w:spacing w:line="276" w:lineRule="auto"/>
              <w:rPr>
                <w:rFonts w:ascii="Times New Roman" w:hAnsi="Times New Roman" w:cs="Times New Roman"/>
                <w:sz w:val="20"/>
                <w:szCs w:val="20"/>
              </w:rPr>
            </w:pPr>
            <w:r w:rsidRPr="004D1167">
              <w:rPr>
                <w:rFonts w:ascii="Times New Roman" w:hAnsi="Times New Roman" w:cs="Times New Roman"/>
                <w:sz w:val="20"/>
                <w:szCs w:val="20"/>
              </w:rPr>
              <w:t>Conformance</w:t>
            </w:r>
          </w:p>
        </w:tc>
        <w:tc>
          <w:tcPr>
            <w:tcW w:w="368" w:type="pct"/>
            <w:tcBorders>
              <w:top w:val="single" w:sz="4" w:space="0" w:color="auto"/>
              <w:left w:val="single" w:sz="4" w:space="0" w:color="auto"/>
              <w:bottom w:val="single" w:sz="4" w:space="0" w:color="auto"/>
            </w:tcBorders>
            <w:vAlign w:val="center"/>
          </w:tcPr>
          <w:p w14:paraId="7CC1310F"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706</w:t>
            </w:r>
          </w:p>
        </w:tc>
        <w:tc>
          <w:tcPr>
            <w:tcW w:w="345" w:type="pct"/>
            <w:tcBorders>
              <w:top w:val="single" w:sz="4" w:space="0" w:color="auto"/>
              <w:bottom w:val="single" w:sz="4" w:space="0" w:color="auto"/>
            </w:tcBorders>
            <w:vAlign w:val="center"/>
          </w:tcPr>
          <w:p w14:paraId="1A84120D"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14</w:t>
            </w:r>
          </w:p>
        </w:tc>
        <w:tc>
          <w:tcPr>
            <w:tcW w:w="371" w:type="pct"/>
            <w:tcBorders>
              <w:top w:val="single" w:sz="4" w:space="0" w:color="auto"/>
              <w:bottom w:val="single" w:sz="4" w:space="0" w:color="auto"/>
            </w:tcBorders>
            <w:vAlign w:val="center"/>
          </w:tcPr>
          <w:p w14:paraId="57B52B1A"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720</w:t>
            </w:r>
          </w:p>
        </w:tc>
        <w:tc>
          <w:tcPr>
            <w:tcW w:w="369" w:type="pct"/>
            <w:tcBorders>
              <w:top w:val="single" w:sz="4" w:space="0" w:color="auto"/>
              <w:bottom w:val="single" w:sz="4" w:space="0" w:color="auto"/>
              <w:right w:val="single" w:sz="4" w:space="0" w:color="auto"/>
            </w:tcBorders>
            <w:vAlign w:val="center"/>
          </w:tcPr>
          <w:p w14:paraId="5C436EFE"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98</w:t>
            </w:r>
          </w:p>
        </w:tc>
        <w:tc>
          <w:tcPr>
            <w:tcW w:w="364" w:type="pct"/>
            <w:tcBorders>
              <w:top w:val="single" w:sz="4" w:space="0" w:color="auto"/>
              <w:left w:val="single" w:sz="4" w:space="0" w:color="auto"/>
              <w:bottom w:val="single" w:sz="4" w:space="0" w:color="auto"/>
            </w:tcBorders>
            <w:vAlign w:val="center"/>
          </w:tcPr>
          <w:p w14:paraId="2205EB5B"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120</w:t>
            </w:r>
          </w:p>
        </w:tc>
        <w:tc>
          <w:tcPr>
            <w:tcW w:w="309" w:type="pct"/>
            <w:tcBorders>
              <w:top w:val="single" w:sz="4" w:space="0" w:color="auto"/>
              <w:bottom w:val="single" w:sz="4" w:space="0" w:color="auto"/>
            </w:tcBorders>
            <w:vAlign w:val="center"/>
          </w:tcPr>
          <w:p w14:paraId="5822B6CF"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0</w:t>
            </w:r>
          </w:p>
        </w:tc>
        <w:tc>
          <w:tcPr>
            <w:tcW w:w="368" w:type="pct"/>
            <w:tcBorders>
              <w:top w:val="single" w:sz="4" w:space="0" w:color="auto"/>
              <w:bottom w:val="single" w:sz="4" w:space="0" w:color="auto"/>
            </w:tcBorders>
            <w:vAlign w:val="center"/>
          </w:tcPr>
          <w:p w14:paraId="46CBF83E"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120</w:t>
            </w:r>
          </w:p>
        </w:tc>
        <w:tc>
          <w:tcPr>
            <w:tcW w:w="364" w:type="pct"/>
            <w:tcBorders>
              <w:top w:val="single" w:sz="4" w:space="0" w:color="auto"/>
              <w:bottom w:val="single" w:sz="4" w:space="0" w:color="auto"/>
              <w:right w:val="single" w:sz="4" w:space="0" w:color="auto"/>
            </w:tcBorders>
            <w:vAlign w:val="center"/>
          </w:tcPr>
          <w:p w14:paraId="19FF4296"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100</w:t>
            </w:r>
          </w:p>
        </w:tc>
        <w:tc>
          <w:tcPr>
            <w:tcW w:w="323" w:type="pct"/>
            <w:tcBorders>
              <w:top w:val="single" w:sz="4" w:space="0" w:color="auto"/>
              <w:left w:val="single" w:sz="4" w:space="0" w:color="auto"/>
              <w:bottom w:val="single" w:sz="4" w:space="0" w:color="auto"/>
            </w:tcBorders>
            <w:vAlign w:val="center"/>
          </w:tcPr>
          <w:p w14:paraId="70AA22B8"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826</w:t>
            </w:r>
          </w:p>
        </w:tc>
        <w:tc>
          <w:tcPr>
            <w:tcW w:w="272" w:type="pct"/>
            <w:tcBorders>
              <w:top w:val="single" w:sz="4" w:space="0" w:color="auto"/>
              <w:bottom w:val="single" w:sz="4" w:space="0" w:color="auto"/>
            </w:tcBorders>
            <w:vAlign w:val="center"/>
          </w:tcPr>
          <w:p w14:paraId="4A02EFD1"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14</w:t>
            </w:r>
          </w:p>
        </w:tc>
        <w:tc>
          <w:tcPr>
            <w:tcW w:w="326" w:type="pct"/>
            <w:tcBorders>
              <w:top w:val="single" w:sz="4" w:space="0" w:color="auto"/>
              <w:bottom w:val="single" w:sz="4" w:space="0" w:color="auto"/>
            </w:tcBorders>
            <w:vAlign w:val="center"/>
          </w:tcPr>
          <w:p w14:paraId="6DB7123E"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840</w:t>
            </w:r>
          </w:p>
        </w:tc>
        <w:tc>
          <w:tcPr>
            <w:tcW w:w="323" w:type="pct"/>
            <w:tcBorders>
              <w:top w:val="single" w:sz="4" w:space="0" w:color="auto"/>
              <w:bottom w:val="single" w:sz="4" w:space="0" w:color="auto"/>
              <w:right w:val="single" w:sz="4" w:space="0" w:color="auto"/>
            </w:tcBorders>
            <w:vAlign w:val="center"/>
          </w:tcPr>
          <w:p w14:paraId="2343D541"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98</w:t>
            </w:r>
          </w:p>
        </w:tc>
      </w:tr>
      <w:tr w:rsidR="004D1167" w:rsidRPr="004D1167" w14:paraId="26FA951D" w14:textId="77777777" w:rsidTr="005E036D">
        <w:trPr>
          <w:trHeight w:val="395"/>
        </w:trPr>
        <w:tc>
          <w:tcPr>
            <w:tcW w:w="898" w:type="pct"/>
            <w:tcBorders>
              <w:right w:val="single" w:sz="4" w:space="0" w:color="auto"/>
            </w:tcBorders>
            <w:vAlign w:val="center"/>
          </w:tcPr>
          <w:p w14:paraId="76DC89E3" w14:textId="77777777" w:rsidR="004D1167" w:rsidRPr="004D1167" w:rsidRDefault="004D1167" w:rsidP="00035C58">
            <w:pPr>
              <w:spacing w:line="276" w:lineRule="auto"/>
              <w:rPr>
                <w:rFonts w:ascii="Times New Roman" w:hAnsi="Times New Roman" w:cs="Times New Roman"/>
                <w:sz w:val="20"/>
                <w:szCs w:val="20"/>
              </w:rPr>
            </w:pPr>
            <w:r w:rsidRPr="004D1167">
              <w:rPr>
                <w:rFonts w:ascii="Times New Roman" w:hAnsi="Times New Roman" w:cs="Times New Roman"/>
                <w:sz w:val="20"/>
                <w:szCs w:val="20"/>
              </w:rPr>
              <w:t>Completeness</w:t>
            </w:r>
          </w:p>
        </w:tc>
        <w:tc>
          <w:tcPr>
            <w:tcW w:w="368" w:type="pct"/>
            <w:tcBorders>
              <w:top w:val="single" w:sz="4" w:space="0" w:color="auto"/>
              <w:left w:val="single" w:sz="4" w:space="0" w:color="auto"/>
              <w:bottom w:val="single" w:sz="4" w:space="0" w:color="auto"/>
            </w:tcBorders>
            <w:vAlign w:val="center"/>
          </w:tcPr>
          <w:p w14:paraId="05A2B896"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297</w:t>
            </w:r>
          </w:p>
        </w:tc>
        <w:tc>
          <w:tcPr>
            <w:tcW w:w="345" w:type="pct"/>
            <w:tcBorders>
              <w:top w:val="single" w:sz="4" w:space="0" w:color="auto"/>
              <w:bottom w:val="single" w:sz="4" w:space="0" w:color="auto"/>
            </w:tcBorders>
            <w:vAlign w:val="center"/>
          </w:tcPr>
          <w:p w14:paraId="4E90145B"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17</w:t>
            </w:r>
          </w:p>
        </w:tc>
        <w:tc>
          <w:tcPr>
            <w:tcW w:w="371" w:type="pct"/>
            <w:tcBorders>
              <w:top w:val="single" w:sz="4" w:space="0" w:color="auto"/>
              <w:bottom w:val="single" w:sz="4" w:space="0" w:color="auto"/>
            </w:tcBorders>
            <w:vAlign w:val="center"/>
          </w:tcPr>
          <w:p w14:paraId="0869B3F0"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314</w:t>
            </w:r>
          </w:p>
        </w:tc>
        <w:tc>
          <w:tcPr>
            <w:tcW w:w="369" w:type="pct"/>
            <w:tcBorders>
              <w:top w:val="single" w:sz="4" w:space="0" w:color="auto"/>
              <w:bottom w:val="single" w:sz="4" w:space="0" w:color="auto"/>
              <w:right w:val="single" w:sz="4" w:space="0" w:color="auto"/>
            </w:tcBorders>
            <w:vAlign w:val="center"/>
          </w:tcPr>
          <w:p w14:paraId="5A28BF99"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95</w:t>
            </w:r>
          </w:p>
        </w:tc>
        <w:tc>
          <w:tcPr>
            <w:tcW w:w="364" w:type="pct"/>
            <w:tcBorders>
              <w:top w:val="single" w:sz="4" w:space="0" w:color="auto"/>
              <w:left w:val="single" w:sz="4" w:space="0" w:color="auto"/>
              <w:bottom w:val="single" w:sz="4" w:space="0" w:color="auto"/>
            </w:tcBorders>
            <w:vAlign w:val="center"/>
          </w:tcPr>
          <w:p w14:paraId="684B405F"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10</w:t>
            </w:r>
          </w:p>
        </w:tc>
        <w:tc>
          <w:tcPr>
            <w:tcW w:w="309" w:type="pct"/>
            <w:tcBorders>
              <w:top w:val="single" w:sz="4" w:space="0" w:color="auto"/>
              <w:bottom w:val="single" w:sz="4" w:space="0" w:color="auto"/>
            </w:tcBorders>
            <w:vAlign w:val="center"/>
          </w:tcPr>
          <w:p w14:paraId="29F17D04"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w:t>
            </w:r>
          </w:p>
        </w:tc>
        <w:tc>
          <w:tcPr>
            <w:tcW w:w="368" w:type="pct"/>
            <w:tcBorders>
              <w:top w:val="single" w:sz="4" w:space="0" w:color="auto"/>
              <w:bottom w:val="single" w:sz="4" w:space="0" w:color="auto"/>
            </w:tcBorders>
            <w:vAlign w:val="center"/>
          </w:tcPr>
          <w:p w14:paraId="3055C9A3"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11</w:t>
            </w:r>
          </w:p>
        </w:tc>
        <w:tc>
          <w:tcPr>
            <w:tcW w:w="364" w:type="pct"/>
            <w:tcBorders>
              <w:top w:val="single" w:sz="4" w:space="0" w:color="auto"/>
              <w:bottom w:val="single" w:sz="4" w:space="0" w:color="auto"/>
              <w:right w:val="single" w:sz="4" w:space="0" w:color="auto"/>
            </w:tcBorders>
            <w:vAlign w:val="center"/>
          </w:tcPr>
          <w:p w14:paraId="66253B1E"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91</w:t>
            </w:r>
          </w:p>
        </w:tc>
        <w:tc>
          <w:tcPr>
            <w:tcW w:w="323" w:type="pct"/>
            <w:tcBorders>
              <w:top w:val="single" w:sz="4" w:space="0" w:color="auto"/>
              <w:left w:val="single" w:sz="4" w:space="0" w:color="auto"/>
              <w:bottom w:val="single" w:sz="4" w:space="0" w:color="auto"/>
            </w:tcBorders>
            <w:vAlign w:val="center"/>
          </w:tcPr>
          <w:p w14:paraId="3D59E3FC"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307</w:t>
            </w:r>
          </w:p>
        </w:tc>
        <w:tc>
          <w:tcPr>
            <w:tcW w:w="272" w:type="pct"/>
            <w:tcBorders>
              <w:top w:val="single" w:sz="4" w:space="0" w:color="auto"/>
              <w:bottom w:val="single" w:sz="4" w:space="0" w:color="auto"/>
            </w:tcBorders>
            <w:vAlign w:val="center"/>
          </w:tcPr>
          <w:p w14:paraId="3C8C1E94"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18</w:t>
            </w:r>
          </w:p>
        </w:tc>
        <w:tc>
          <w:tcPr>
            <w:tcW w:w="326" w:type="pct"/>
            <w:tcBorders>
              <w:top w:val="single" w:sz="4" w:space="0" w:color="auto"/>
              <w:bottom w:val="single" w:sz="4" w:space="0" w:color="auto"/>
            </w:tcBorders>
            <w:vAlign w:val="center"/>
          </w:tcPr>
          <w:p w14:paraId="667DDA0C"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325</w:t>
            </w:r>
          </w:p>
        </w:tc>
        <w:tc>
          <w:tcPr>
            <w:tcW w:w="323" w:type="pct"/>
            <w:tcBorders>
              <w:top w:val="single" w:sz="4" w:space="0" w:color="auto"/>
              <w:bottom w:val="single" w:sz="4" w:space="0" w:color="auto"/>
              <w:right w:val="single" w:sz="4" w:space="0" w:color="auto"/>
            </w:tcBorders>
            <w:vAlign w:val="center"/>
          </w:tcPr>
          <w:p w14:paraId="0522E6BD"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94</w:t>
            </w:r>
          </w:p>
        </w:tc>
      </w:tr>
      <w:tr w:rsidR="004D1167" w:rsidRPr="004D1167" w14:paraId="2B09D0CD" w14:textId="77777777" w:rsidTr="005E036D">
        <w:trPr>
          <w:trHeight w:val="458"/>
        </w:trPr>
        <w:tc>
          <w:tcPr>
            <w:tcW w:w="898" w:type="pct"/>
            <w:tcBorders>
              <w:right w:val="single" w:sz="4" w:space="0" w:color="auto"/>
            </w:tcBorders>
            <w:vAlign w:val="center"/>
          </w:tcPr>
          <w:p w14:paraId="763732B4" w14:textId="77777777" w:rsidR="004D1167" w:rsidRPr="004D1167" w:rsidRDefault="004D1167" w:rsidP="00035C58">
            <w:pPr>
              <w:spacing w:line="276" w:lineRule="auto"/>
              <w:rPr>
                <w:rFonts w:ascii="Times New Roman" w:hAnsi="Times New Roman" w:cs="Times New Roman"/>
                <w:sz w:val="20"/>
                <w:szCs w:val="20"/>
              </w:rPr>
            </w:pPr>
            <w:r w:rsidRPr="004D1167">
              <w:rPr>
                <w:rFonts w:ascii="Times New Roman" w:hAnsi="Times New Roman" w:cs="Times New Roman"/>
                <w:sz w:val="20"/>
                <w:szCs w:val="20"/>
              </w:rPr>
              <w:t>Total</w:t>
            </w:r>
          </w:p>
        </w:tc>
        <w:tc>
          <w:tcPr>
            <w:tcW w:w="368" w:type="pct"/>
            <w:tcBorders>
              <w:top w:val="single" w:sz="4" w:space="0" w:color="auto"/>
              <w:left w:val="single" w:sz="4" w:space="0" w:color="auto"/>
              <w:bottom w:val="single" w:sz="4" w:space="0" w:color="auto"/>
            </w:tcBorders>
            <w:vAlign w:val="center"/>
          </w:tcPr>
          <w:p w14:paraId="3EA113EF"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1240</w:t>
            </w:r>
          </w:p>
        </w:tc>
        <w:tc>
          <w:tcPr>
            <w:tcW w:w="345" w:type="pct"/>
            <w:tcBorders>
              <w:top w:val="single" w:sz="4" w:space="0" w:color="auto"/>
              <w:bottom w:val="single" w:sz="4" w:space="0" w:color="auto"/>
            </w:tcBorders>
            <w:vAlign w:val="center"/>
          </w:tcPr>
          <w:p w14:paraId="44868B12"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36</w:t>
            </w:r>
          </w:p>
        </w:tc>
        <w:tc>
          <w:tcPr>
            <w:tcW w:w="371" w:type="pct"/>
            <w:tcBorders>
              <w:top w:val="single" w:sz="4" w:space="0" w:color="auto"/>
              <w:bottom w:val="single" w:sz="4" w:space="0" w:color="auto"/>
            </w:tcBorders>
            <w:vAlign w:val="center"/>
          </w:tcPr>
          <w:p w14:paraId="789203CF"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1276</w:t>
            </w:r>
          </w:p>
        </w:tc>
        <w:tc>
          <w:tcPr>
            <w:tcW w:w="369" w:type="pct"/>
            <w:tcBorders>
              <w:top w:val="single" w:sz="4" w:space="0" w:color="auto"/>
              <w:bottom w:val="single" w:sz="4" w:space="0" w:color="auto"/>
              <w:right w:val="single" w:sz="4" w:space="0" w:color="auto"/>
            </w:tcBorders>
            <w:vAlign w:val="center"/>
          </w:tcPr>
          <w:p w14:paraId="14A906FA"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97</w:t>
            </w:r>
          </w:p>
        </w:tc>
        <w:tc>
          <w:tcPr>
            <w:tcW w:w="364" w:type="pct"/>
            <w:tcBorders>
              <w:top w:val="single" w:sz="4" w:space="0" w:color="auto"/>
              <w:left w:val="single" w:sz="4" w:space="0" w:color="auto"/>
              <w:bottom w:val="single" w:sz="4" w:space="0" w:color="auto"/>
            </w:tcBorders>
            <w:vAlign w:val="center"/>
          </w:tcPr>
          <w:p w14:paraId="337D5227"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130</w:t>
            </w:r>
          </w:p>
        </w:tc>
        <w:tc>
          <w:tcPr>
            <w:tcW w:w="309" w:type="pct"/>
            <w:tcBorders>
              <w:top w:val="single" w:sz="4" w:space="0" w:color="auto"/>
              <w:bottom w:val="single" w:sz="4" w:space="0" w:color="auto"/>
            </w:tcBorders>
            <w:vAlign w:val="center"/>
          </w:tcPr>
          <w:p w14:paraId="69C577E2"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w:t>
            </w:r>
          </w:p>
        </w:tc>
        <w:tc>
          <w:tcPr>
            <w:tcW w:w="368" w:type="pct"/>
            <w:tcBorders>
              <w:top w:val="single" w:sz="4" w:space="0" w:color="auto"/>
              <w:bottom w:val="single" w:sz="4" w:space="0" w:color="auto"/>
            </w:tcBorders>
            <w:vAlign w:val="center"/>
          </w:tcPr>
          <w:p w14:paraId="57951183"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131</w:t>
            </w:r>
          </w:p>
        </w:tc>
        <w:tc>
          <w:tcPr>
            <w:tcW w:w="364" w:type="pct"/>
            <w:tcBorders>
              <w:top w:val="single" w:sz="4" w:space="0" w:color="auto"/>
              <w:bottom w:val="single" w:sz="4" w:space="0" w:color="auto"/>
              <w:right w:val="single" w:sz="4" w:space="0" w:color="auto"/>
            </w:tcBorders>
            <w:vAlign w:val="center"/>
          </w:tcPr>
          <w:p w14:paraId="0CCDA476"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99</w:t>
            </w:r>
          </w:p>
        </w:tc>
        <w:tc>
          <w:tcPr>
            <w:tcW w:w="323" w:type="pct"/>
            <w:tcBorders>
              <w:top w:val="single" w:sz="4" w:space="0" w:color="auto"/>
              <w:left w:val="single" w:sz="4" w:space="0" w:color="auto"/>
              <w:bottom w:val="single" w:sz="4" w:space="0" w:color="auto"/>
            </w:tcBorders>
            <w:vAlign w:val="center"/>
          </w:tcPr>
          <w:p w14:paraId="482AFC7D"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1370</w:t>
            </w:r>
          </w:p>
        </w:tc>
        <w:tc>
          <w:tcPr>
            <w:tcW w:w="272" w:type="pct"/>
            <w:tcBorders>
              <w:top w:val="single" w:sz="4" w:space="0" w:color="auto"/>
              <w:bottom w:val="single" w:sz="4" w:space="0" w:color="auto"/>
            </w:tcBorders>
            <w:vAlign w:val="center"/>
          </w:tcPr>
          <w:p w14:paraId="34251509"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37</w:t>
            </w:r>
          </w:p>
        </w:tc>
        <w:tc>
          <w:tcPr>
            <w:tcW w:w="326" w:type="pct"/>
            <w:tcBorders>
              <w:top w:val="single" w:sz="4" w:space="0" w:color="auto"/>
              <w:bottom w:val="single" w:sz="4" w:space="0" w:color="auto"/>
            </w:tcBorders>
            <w:vAlign w:val="center"/>
          </w:tcPr>
          <w:p w14:paraId="0DA4DB01"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1407</w:t>
            </w:r>
          </w:p>
        </w:tc>
        <w:tc>
          <w:tcPr>
            <w:tcW w:w="323" w:type="pct"/>
            <w:tcBorders>
              <w:top w:val="single" w:sz="4" w:space="0" w:color="auto"/>
              <w:bottom w:val="single" w:sz="4" w:space="0" w:color="auto"/>
              <w:right w:val="single" w:sz="4" w:space="0" w:color="auto"/>
            </w:tcBorders>
            <w:vAlign w:val="center"/>
          </w:tcPr>
          <w:p w14:paraId="08727BF3"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97</w:t>
            </w:r>
          </w:p>
        </w:tc>
      </w:tr>
      <w:tr w:rsidR="004D1167" w:rsidRPr="004D1167" w14:paraId="288A2382" w14:textId="77777777" w:rsidTr="005E036D">
        <w:trPr>
          <w:trHeight w:val="395"/>
        </w:trPr>
        <w:tc>
          <w:tcPr>
            <w:tcW w:w="5000" w:type="pct"/>
            <w:gridSpan w:val="13"/>
            <w:vAlign w:val="center"/>
          </w:tcPr>
          <w:p w14:paraId="329C12CD" w14:textId="77777777" w:rsidR="004D1167" w:rsidRPr="004D1167" w:rsidRDefault="004D1167" w:rsidP="00035C58">
            <w:pPr>
              <w:spacing w:line="276" w:lineRule="auto"/>
              <w:rPr>
                <w:rFonts w:ascii="Times New Roman" w:hAnsi="Times New Roman" w:cs="Times New Roman"/>
                <w:b/>
                <w:bCs/>
                <w:sz w:val="20"/>
                <w:szCs w:val="20"/>
              </w:rPr>
            </w:pPr>
            <w:r w:rsidRPr="004D1167">
              <w:rPr>
                <w:rFonts w:ascii="Times New Roman" w:hAnsi="Times New Roman" w:cs="Times New Roman"/>
                <w:b/>
                <w:bCs/>
                <w:sz w:val="20"/>
                <w:szCs w:val="20"/>
              </w:rPr>
              <w:t xml:space="preserve">University of Texas Southwestern Medical Center </w:t>
            </w:r>
          </w:p>
        </w:tc>
      </w:tr>
      <w:tr w:rsidR="004D1167" w:rsidRPr="004D1167" w14:paraId="06BC0217" w14:textId="77777777" w:rsidTr="00F0247C">
        <w:trPr>
          <w:trHeight w:val="579"/>
        </w:trPr>
        <w:tc>
          <w:tcPr>
            <w:tcW w:w="898" w:type="pct"/>
            <w:vMerge w:val="restart"/>
            <w:tcBorders>
              <w:right w:val="single" w:sz="4" w:space="0" w:color="auto"/>
            </w:tcBorders>
          </w:tcPr>
          <w:p w14:paraId="5680EE51" w14:textId="77777777" w:rsidR="004D1167" w:rsidRPr="004D1167" w:rsidRDefault="004D1167" w:rsidP="00035C58">
            <w:pPr>
              <w:spacing w:line="276" w:lineRule="auto"/>
              <w:jc w:val="both"/>
              <w:rPr>
                <w:rFonts w:ascii="Times New Roman" w:hAnsi="Times New Roman" w:cs="Times New Roman"/>
                <w:b/>
                <w:bCs/>
                <w:sz w:val="20"/>
                <w:szCs w:val="20"/>
              </w:rPr>
            </w:pPr>
          </w:p>
        </w:tc>
        <w:tc>
          <w:tcPr>
            <w:tcW w:w="1453" w:type="pct"/>
            <w:gridSpan w:val="4"/>
            <w:tcBorders>
              <w:top w:val="single" w:sz="4" w:space="0" w:color="auto"/>
              <w:left w:val="single" w:sz="4" w:space="0" w:color="auto"/>
              <w:bottom w:val="nil"/>
              <w:right w:val="single" w:sz="4" w:space="0" w:color="auto"/>
            </w:tcBorders>
            <w:vAlign w:val="center"/>
          </w:tcPr>
          <w:p w14:paraId="2B438D31"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Verification</w:t>
            </w:r>
          </w:p>
        </w:tc>
        <w:tc>
          <w:tcPr>
            <w:tcW w:w="1406" w:type="pct"/>
            <w:gridSpan w:val="4"/>
            <w:tcBorders>
              <w:top w:val="single" w:sz="4" w:space="0" w:color="auto"/>
              <w:left w:val="single" w:sz="4" w:space="0" w:color="auto"/>
              <w:bottom w:val="nil"/>
              <w:right w:val="single" w:sz="4" w:space="0" w:color="auto"/>
            </w:tcBorders>
            <w:vAlign w:val="center"/>
          </w:tcPr>
          <w:p w14:paraId="598C5CA1"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Validation</w:t>
            </w:r>
          </w:p>
        </w:tc>
        <w:tc>
          <w:tcPr>
            <w:tcW w:w="1243" w:type="pct"/>
            <w:gridSpan w:val="4"/>
            <w:tcBorders>
              <w:top w:val="single" w:sz="4" w:space="0" w:color="auto"/>
              <w:left w:val="single" w:sz="4" w:space="0" w:color="auto"/>
              <w:bottom w:val="nil"/>
              <w:right w:val="single" w:sz="4" w:space="0" w:color="auto"/>
            </w:tcBorders>
            <w:vAlign w:val="center"/>
          </w:tcPr>
          <w:p w14:paraId="78CA5F6E"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Total</w:t>
            </w:r>
          </w:p>
        </w:tc>
      </w:tr>
      <w:tr w:rsidR="004D1167" w:rsidRPr="004D1167" w14:paraId="1D25C300" w14:textId="77777777" w:rsidTr="005E036D">
        <w:trPr>
          <w:trHeight w:val="386"/>
        </w:trPr>
        <w:tc>
          <w:tcPr>
            <w:tcW w:w="898" w:type="pct"/>
            <w:vMerge/>
            <w:tcBorders>
              <w:right w:val="single" w:sz="4" w:space="0" w:color="auto"/>
            </w:tcBorders>
            <w:vAlign w:val="center"/>
          </w:tcPr>
          <w:p w14:paraId="75A8DB08" w14:textId="77777777" w:rsidR="004D1167" w:rsidRPr="004D1167" w:rsidRDefault="004D1167" w:rsidP="00035C58">
            <w:pPr>
              <w:spacing w:line="276" w:lineRule="auto"/>
              <w:jc w:val="center"/>
              <w:rPr>
                <w:rFonts w:ascii="Times New Roman" w:hAnsi="Times New Roman" w:cs="Times New Roman"/>
                <w:b/>
                <w:bCs/>
                <w:sz w:val="20"/>
                <w:szCs w:val="20"/>
              </w:rPr>
            </w:pPr>
          </w:p>
        </w:tc>
        <w:tc>
          <w:tcPr>
            <w:tcW w:w="368" w:type="pct"/>
            <w:tcBorders>
              <w:top w:val="nil"/>
              <w:left w:val="single" w:sz="4" w:space="0" w:color="auto"/>
              <w:bottom w:val="single" w:sz="4" w:space="0" w:color="auto"/>
            </w:tcBorders>
            <w:vAlign w:val="center"/>
          </w:tcPr>
          <w:p w14:paraId="399184E5" w14:textId="77777777" w:rsid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Pass</w:t>
            </w:r>
          </w:p>
          <w:p w14:paraId="69E7C853" w14:textId="5366B3FC" w:rsidR="00672AF9" w:rsidRPr="004D1167" w:rsidRDefault="00672AF9" w:rsidP="00035C58">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(n)</w:t>
            </w:r>
          </w:p>
        </w:tc>
        <w:tc>
          <w:tcPr>
            <w:tcW w:w="345" w:type="pct"/>
            <w:tcBorders>
              <w:top w:val="nil"/>
              <w:bottom w:val="single" w:sz="4" w:space="0" w:color="auto"/>
            </w:tcBorders>
            <w:vAlign w:val="center"/>
          </w:tcPr>
          <w:p w14:paraId="075021C9" w14:textId="77777777" w:rsid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Fail</w:t>
            </w:r>
          </w:p>
          <w:p w14:paraId="7BFD1342" w14:textId="282CDA96" w:rsidR="00672AF9" w:rsidRPr="004D1167" w:rsidRDefault="00672AF9" w:rsidP="00035C58">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(n)</w:t>
            </w:r>
          </w:p>
        </w:tc>
        <w:tc>
          <w:tcPr>
            <w:tcW w:w="371" w:type="pct"/>
            <w:tcBorders>
              <w:top w:val="nil"/>
              <w:bottom w:val="single" w:sz="4" w:space="0" w:color="auto"/>
            </w:tcBorders>
            <w:vAlign w:val="center"/>
          </w:tcPr>
          <w:p w14:paraId="01AA7269" w14:textId="77777777" w:rsid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Total</w:t>
            </w:r>
          </w:p>
          <w:p w14:paraId="36D8B587" w14:textId="02F3DF18" w:rsidR="00672AF9" w:rsidRPr="004D1167" w:rsidRDefault="00672AF9" w:rsidP="00035C58">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(n)</w:t>
            </w:r>
          </w:p>
        </w:tc>
        <w:tc>
          <w:tcPr>
            <w:tcW w:w="369" w:type="pct"/>
            <w:tcBorders>
              <w:top w:val="nil"/>
              <w:bottom w:val="single" w:sz="4" w:space="0" w:color="auto"/>
              <w:right w:val="single" w:sz="4" w:space="0" w:color="auto"/>
            </w:tcBorders>
            <w:vAlign w:val="center"/>
          </w:tcPr>
          <w:p w14:paraId="32B8BAE9"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 Pass</w:t>
            </w:r>
          </w:p>
        </w:tc>
        <w:tc>
          <w:tcPr>
            <w:tcW w:w="364" w:type="pct"/>
            <w:tcBorders>
              <w:top w:val="nil"/>
              <w:left w:val="single" w:sz="4" w:space="0" w:color="auto"/>
              <w:bottom w:val="single" w:sz="4" w:space="0" w:color="auto"/>
            </w:tcBorders>
            <w:vAlign w:val="center"/>
          </w:tcPr>
          <w:p w14:paraId="19AA16BC" w14:textId="77777777" w:rsid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Pass</w:t>
            </w:r>
          </w:p>
          <w:p w14:paraId="73E73F54" w14:textId="2D36DCCD" w:rsidR="00672AF9" w:rsidRPr="004D1167" w:rsidRDefault="00672AF9" w:rsidP="00035C58">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(n)</w:t>
            </w:r>
          </w:p>
        </w:tc>
        <w:tc>
          <w:tcPr>
            <w:tcW w:w="309" w:type="pct"/>
            <w:tcBorders>
              <w:top w:val="nil"/>
              <w:bottom w:val="single" w:sz="4" w:space="0" w:color="auto"/>
            </w:tcBorders>
            <w:vAlign w:val="center"/>
          </w:tcPr>
          <w:p w14:paraId="12CA7AC2" w14:textId="77777777" w:rsid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Fail</w:t>
            </w:r>
          </w:p>
          <w:p w14:paraId="09756CAF" w14:textId="7CD42DD4" w:rsidR="00672AF9" w:rsidRPr="004D1167" w:rsidRDefault="00672AF9" w:rsidP="00035C58">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(n)</w:t>
            </w:r>
          </w:p>
        </w:tc>
        <w:tc>
          <w:tcPr>
            <w:tcW w:w="368" w:type="pct"/>
            <w:tcBorders>
              <w:top w:val="nil"/>
              <w:bottom w:val="single" w:sz="4" w:space="0" w:color="auto"/>
            </w:tcBorders>
            <w:vAlign w:val="center"/>
          </w:tcPr>
          <w:p w14:paraId="596747AD" w14:textId="77777777" w:rsid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Total</w:t>
            </w:r>
          </w:p>
          <w:p w14:paraId="78D73017" w14:textId="6A358E63" w:rsidR="00672AF9" w:rsidRPr="004D1167" w:rsidRDefault="00672AF9" w:rsidP="00035C58">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(n)</w:t>
            </w:r>
          </w:p>
        </w:tc>
        <w:tc>
          <w:tcPr>
            <w:tcW w:w="364" w:type="pct"/>
            <w:tcBorders>
              <w:top w:val="nil"/>
              <w:bottom w:val="single" w:sz="4" w:space="0" w:color="auto"/>
              <w:right w:val="single" w:sz="4" w:space="0" w:color="auto"/>
            </w:tcBorders>
            <w:vAlign w:val="center"/>
          </w:tcPr>
          <w:p w14:paraId="725CDD3C"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 Pass</w:t>
            </w:r>
          </w:p>
        </w:tc>
        <w:tc>
          <w:tcPr>
            <w:tcW w:w="323" w:type="pct"/>
            <w:tcBorders>
              <w:top w:val="nil"/>
              <w:left w:val="single" w:sz="4" w:space="0" w:color="auto"/>
              <w:bottom w:val="single" w:sz="4" w:space="0" w:color="auto"/>
            </w:tcBorders>
            <w:vAlign w:val="center"/>
          </w:tcPr>
          <w:p w14:paraId="74A8ACDF" w14:textId="77777777" w:rsid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Pass</w:t>
            </w:r>
          </w:p>
          <w:p w14:paraId="6FA042CD" w14:textId="05FCCB1F" w:rsidR="00672AF9" w:rsidRPr="004D1167" w:rsidRDefault="00672AF9" w:rsidP="00035C58">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(n)</w:t>
            </w:r>
          </w:p>
        </w:tc>
        <w:tc>
          <w:tcPr>
            <w:tcW w:w="272" w:type="pct"/>
            <w:tcBorders>
              <w:top w:val="nil"/>
              <w:bottom w:val="single" w:sz="4" w:space="0" w:color="auto"/>
            </w:tcBorders>
            <w:vAlign w:val="center"/>
          </w:tcPr>
          <w:p w14:paraId="4BFD950F" w14:textId="77777777" w:rsid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Fail</w:t>
            </w:r>
          </w:p>
          <w:p w14:paraId="722FA3FC" w14:textId="5A4C3BA3" w:rsidR="00672AF9" w:rsidRPr="004D1167" w:rsidRDefault="00672AF9" w:rsidP="00035C58">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(n)</w:t>
            </w:r>
          </w:p>
        </w:tc>
        <w:tc>
          <w:tcPr>
            <w:tcW w:w="326" w:type="pct"/>
            <w:tcBorders>
              <w:top w:val="nil"/>
              <w:bottom w:val="single" w:sz="4" w:space="0" w:color="auto"/>
            </w:tcBorders>
            <w:vAlign w:val="center"/>
          </w:tcPr>
          <w:p w14:paraId="32E06502" w14:textId="77777777" w:rsid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Total</w:t>
            </w:r>
          </w:p>
          <w:p w14:paraId="28B301F2" w14:textId="658FD2B1" w:rsidR="00672AF9" w:rsidRPr="004D1167" w:rsidRDefault="00672AF9" w:rsidP="00035C58">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(n)</w:t>
            </w:r>
          </w:p>
        </w:tc>
        <w:tc>
          <w:tcPr>
            <w:tcW w:w="323" w:type="pct"/>
            <w:tcBorders>
              <w:top w:val="nil"/>
              <w:bottom w:val="single" w:sz="4" w:space="0" w:color="auto"/>
              <w:right w:val="single" w:sz="4" w:space="0" w:color="auto"/>
            </w:tcBorders>
            <w:vAlign w:val="center"/>
          </w:tcPr>
          <w:p w14:paraId="765E5D14" w14:textId="77777777" w:rsidR="004D1167" w:rsidRPr="004D1167" w:rsidRDefault="004D1167" w:rsidP="00035C58">
            <w:pPr>
              <w:spacing w:line="276" w:lineRule="auto"/>
              <w:jc w:val="center"/>
              <w:rPr>
                <w:rFonts w:ascii="Times New Roman" w:hAnsi="Times New Roman" w:cs="Times New Roman"/>
                <w:b/>
                <w:bCs/>
                <w:sz w:val="20"/>
                <w:szCs w:val="20"/>
              </w:rPr>
            </w:pPr>
            <w:r w:rsidRPr="004D1167">
              <w:rPr>
                <w:rFonts w:ascii="Times New Roman" w:hAnsi="Times New Roman" w:cs="Times New Roman"/>
                <w:b/>
                <w:bCs/>
                <w:sz w:val="20"/>
                <w:szCs w:val="20"/>
              </w:rPr>
              <w:t>% Pass</w:t>
            </w:r>
          </w:p>
        </w:tc>
      </w:tr>
      <w:tr w:rsidR="004D1167" w:rsidRPr="004D1167" w14:paraId="36F45ED3" w14:textId="77777777" w:rsidTr="005E036D">
        <w:trPr>
          <w:trHeight w:val="494"/>
        </w:trPr>
        <w:tc>
          <w:tcPr>
            <w:tcW w:w="898" w:type="pct"/>
            <w:tcBorders>
              <w:right w:val="single" w:sz="4" w:space="0" w:color="auto"/>
            </w:tcBorders>
            <w:vAlign w:val="center"/>
          </w:tcPr>
          <w:p w14:paraId="4CB69EDB" w14:textId="77777777" w:rsidR="004D1167" w:rsidRPr="004D1167" w:rsidRDefault="004D1167" w:rsidP="00035C58">
            <w:pPr>
              <w:spacing w:line="276" w:lineRule="auto"/>
              <w:rPr>
                <w:rFonts w:ascii="Times New Roman" w:hAnsi="Times New Roman" w:cs="Times New Roman"/>
                <w:sz w:val="20"/>
                <w:szCs w:val="20"/>
              </w:rPr>
            </w:pPr>
            <w:r w:rsidRPr="004D1167">
              <w:rPr>
                <w:rFonts w:ascii="Times New Roman" w:hAnsi="Times New Roman" w:cs="Times New Roman"/>
                <w:sz w:val="20"/>
                <w:szCs w:val="20"/>
              </w:rPr>
              <w:t>Plausibility</w:t>
            </w:r>
          </w:p>
        </w:tc>
        <w:tc>
          <w:tcPr>
            <w:tcW w:w="368" w:type="pct"/>
            <w:tcBorders>
              <w:top w:val="single" w:sz="4" w:space="0" w:color="auto"/>
              <w:left w:val="single" w:sz="4" w:space="0" w:color="auto"/>
              <w:bottom w:val="single" w:sz="4" w:space="0" w:color="auto"/>
            </w:tcBorders>
            <w:vAlign w:val="center"/>
          </w:tcPr>
          <w:p w14:paraId="14F918D2"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156</w:t>
            </w:r>
          </w:p>
        </w:tc>
        <w:tc>
          <w:tcPr>
            <w:tcW w:w="345" w:type="pct"/>
            <w:tcBorders>
              <w:top w:val="single" w:sz="4" w:space="0" w:color="auto"/>
              <w:bottom w:val="single" w:sz="4" w:space="0" w:color="auto"/>
            </w:tcBorders>
            <w:vAlign w:val="center"/>
          </w:tcPr>
          <w:p w14:paraId="3339DAED"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0</w:t>
            </w:r>
          </w:p>
        </w:tc>
        <w:tc>
          <w:tcPr>
            <w:tcW w:w="371" w:type="pct"/>
            <w:tcBorders>
              <w:top w:val="single" w:sz="4" w:space="0" w:color="auto"/>
              <w:bottom w:val="single" w:sz="4" w:space="0" w:color="auto"/>
            </w:tcBorders>
            <w:vAlign w:val="center"/>
          </w:tcPr>
          <w:p w14:paraId="4D907723"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156</w:t>
            </w:r>
          </w:p>
        </w:tc>
        <w:tc>
          <w:tcPr>
            <w:tcW w:w="369" w:type="pct"/>
            <w:tcBorders>
              <w:top w:val="single" w:sz="4" w:space="0" w:color="auto"/>
              <w:bottom w:val="single" w:sz="4" w:space="0" w:color="auto"/>
              <w:right w:val="single" w:sz="4" w:space="0" w:color="auto"/>
            </w:tcBorders>
            <w:vAlign w:val="center"/>
          </w:tcPr>
          <w:p w14:paraId="3A3746AB"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100</w:t>
            </w:r>
          </w:p>
        </w:tc>
        <w:tc>
          <w:tcPr>
            <w:tcW w:w="364" w:type="pct"/>
            <w:tcBorders>
              <w:top w:val="single" w:sz="4" w:space="0" w:color="auto"/>
              <w:left w:val="single" w:sz="4" w:space="0" w:color="auto"/>
              <w:bottom w:val="single" w:sz="4" w:space="0" w:color="auto"/>
            </w:tcBorders>
            <w:vAlign w:val="center"/>
          </w:tcPr>
          <w:p w14:paraId="759ED680"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0</w:t>
            </w:r>
          </w:p>
        </w:tc>
        <w:tc>
          <w:tcPr>
            <w:tcW w:w="309" w:type="pct"/>
            <w:tcBorders>
              <w:top w:val="single" w:sz="4" w:space="0" w:color="auto"/>
              <w:bottom w:val="single" w:sz="4" w:space="0" w:color="auto"/>
            </w:tcBorders>
            <w:vAlign w:val="center"/>
          </w:tcPr>
          <w:p w14:paraId="6997D82B"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0</w:t>
            </w:r>
          </w:p>
        </w:tc>
        <w:tc>
          <w:tcPr>
            <w:tcW w:w="368" w:type="pct"/>
            <w:tcBorders>
              <w:top w:val="single" w:sz="4" w:space="0" w:color="auto"/>
              <w:bottom w:val="single" w:sz="4" w:space="0" w:color="auto"/>
            </w:tcBorders>
            <w:vAlign w:val="center"/>
          </w:tcPr>
          <w:p w14:paraId="014CEA94"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0</w:t>
            </w:r>
          </w:p>
        </w:tc>
        <w:tc>
          <w:tcPr>
            <w:tcW w:w="364" w:type="pct"/>
            <w:tcBorders>
              <w:top w:val="single" w:sz="4" w:space="0" w:color="auto"/>
              <w:bottom w:val="single" w:sz="4" w:space="0" w:color="auto"/>
              <w:right w:val="single" w:sz="4" w:space="0" w:color="auto"/>
            </w:tcBorders>
            <w:vAlign w:val="center"/>
          </w:tcPr>
          <w:p w14:paraId="7ECFD407"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w:t>
            </w:r>
          </w:p>
        </w:tc>
        <w:tc>
          <w:tcPr>
            <w:tcW w:w="323" w:type="pct"/>
            <w:tcBorders>
              <w:top w:val="single" w:sz="4" w:space="0" w:color="auto"/>
              <w:left w:val="single" w:sz="4" w:space="0" w:color="auto"/>
              <w:bottom w:val="single" w:sz="4" w:space="0" w:color="auto"/>
            </w:tcBorders>
            <w:vAlign w:val="center"/>
          </w:tcPr>
          <w:p w14:paraId="06060D74"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156</w:t>
            </w:r>
          </w:p>
        </w:tc>
        <w:tc>
          <w:tcPr>
            <w:tcW w:w="272" w:type="pct"/>
            <w:tcBorders>
              <w:top w:val="single" w:sz="4" w:space="0" w:color="auto"/>
              <w:bottom w:val="single" w:sz="4" w:space="0" w:color="auto"/>
            </w:tcBorders>
            <w:vAlign w:val="center"/>
          </w:tcPr>
          <w:p w14:paraId="313ED25D"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0</w:t>
            </w:r>
          </w:p>
        </w:tc>
        <w:tc>
          <w:tcPr>
            <w:tcW w:w="326" w:type="pct"/>
            <w:tcBorders>
              <w:top w:val="single" w:sz="4" w:space="0" w:color="auto"/>
              <w:bottom w:val="single" w:sz="4" w:space="0" w:color="auto"/>
            </w:tcBorders>
            <w:vAlign w:val="center"/>
          </w:tcPr>
          <w:p w14:paraId="52190E9A"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156</w:t>
            </w:r>
          </w:p>
        </w:tc>
        <w:tc>
          <w:tcPr>
            <w:tcW w:w="323" w:type="pct"/>
            <w:tcBorders>
              <w:top w:val="single" w:sz="4" w:space="0" w:color="auto"/>
              <w:bottom w:val="single" w:sz="4" w:space="0" w:color="auto"/>
              <w:right w:val="single" w:sz="4" w:space="0" w:color="auto"/>
            </w:tcBorders>
            <w:vAlign w:val="center"/>
          </w:tcPr>
          <w:p w14:paraId="26521B77"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100</w:t>
            </w:r>
          </w:p>
        </w:tc>
      </w:tr>
      <w:tr w:rsidR="004D1167" w:rsidRPr="004D1167" w14:paraId="7D630B4C" w14:textId="77777777" w:rsidTr="005E036D">
        <w:trPr>
          <w:trHeight w:val="440"/>
        </w:trPr>
        <w:tc>
          <w:tcPr>
            <w:tcW w:w="898" w:type="pct"/>
            <w:tcBorders>
              <w:right w:val="single" w:sz="4" w:space="0" w:color="auto"/>
            </w:tcBorders>
            <w:vAlign w:val="center"/>
          </w:tcPr>
          <w:p w14:paraId="57E6A023" w14:textId="77777777" w:rsidR="004D1167" w:rsidRPr="004D1167" w:rsidRDefault="004D1167" w:rsidP="00035C58">
            <w:pPr>
              <w:spacing w:line="276" w:lineRule="auto"/>
              <w:rPr>
                <w:rFonts w:ascii="Times New Roman" w:hAnsi="Times New Roman" w:cs="Times New Roman"/>
                <w:sz w:val="20"/>
                <w:szCs w:val="20"/>
              </w:rPr>
            </w:pPr>
            <w:r w:rsidRPr="004D1167">
              <w:rPr>
                <w:rFonts w:ascii="Times New Roman" w:hAnsi="Times New Roman" w:cs="Times New Roman"/>
                <w:sz w:val="20"/>
                <w:szCs w:val="20"/>
              </w:rPr>
              <w:t>Conformance</w:t>
            </w:r>
          </w:p>
        </w:tc>
        <w:tc>
          <w:tcPr>
            <w:tcW w:w="368" w:type="pct"/>
            <w:tcBorders>
              <w:top w:val="single" w:sz="4" w:space="0" w:color="auto"/>
              <w:left w:val="single" w:sz="4" w:space="0" w:color="auto"/>
              <w:bottom w:val="single" w:sz="4" w:space="0" w:color="auto"/>
            </w:tcBorders>
            <w:vAlign w:val="center"/>
          </w:tcPr>
          <w:p w14:paraId="459A569A"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709</w:t>
            </w:r>
          </w:p>
        </w:tc>
        <w:tc>
          <w:tcPr>
            <w:tcW w:w="345" w:type="pct"/>
            <w:tcBorders>
              <w:top w:val="single" w:sz="4" w:space="0" w:color="auto"/>
              <w:bottom w:val="single" w:sz="4" w:space="0" w:color="auto"/>
            </w:tcBorders>
            <w:vAlign w:val="center"/>
          </w:tcPr>
          <w:p w14:paraId="4CF91D66"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11</w:t>
            </w:r>
          </w:p>
        </w:tc>
        <w:tc>
          <w:tcPr>
            <w:tcW w:w="371" w:type="pct"/>
            <w:tcBorders>
              <w:top w:val="single" w:sz="4" w:space="0" w:color="auto"/>
              <w:bottom w:val="single" w:sz="4" w:space="0" w:color="auto"/>
            </w:tcBorders>
            <w:vAlign w:val="center"/>
          </w:tcPr>
          <w:p w14:paraId="0BE9A887"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720</w:t>
            </w:r>
          </w:p>
        </w:tc>
        <w:tc>
          <w:tcPr>
            <w:tcW w:w="369" w:type="pct"/>
            <w:tcBorders>
              <w:top w:val="single" w:sz="4" w:space="0" w:color="auto"/>
              <w:bottom w:val="single" w:sz="4" w:space="0" w:color="auto"/>
              <w:right w:val="single" w:sz="4" w:space="0" w:color="auto"/>
            </w:tcBorders>
            <w:vAlign w:val="center"/>
          </w:tcPr>
          <w:p w14:paraId="1DF2E7AF"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98</w:t>
            </w:r>
          </w:p>
        </w:tc>
        <w:tc>
          <w:tcPr>
            <w:tcW w:w="364" w:type="pct"/>
            <w:tcBorders>
              <w:top w:val="single" w:sz="4" w:space="0" w:color="auto"/>
              <w:left w:val="single" w:sz="4" w:space="0" w:color="auto"/>
              <w:bottom w:val="single" w:sz="4" w:space="0" w:color="auto"/>
            </w:tcBorders>
            <w:vAlign w:val="center"/>
          </w:tcPr>
          <w:p w14:paraId="0AAEF799"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120</w:t>
            </w:r>
          </w:p>
        </w:tc>
        <w:tc>
          <w:tcPr>
            <w:tcW w:w="309" w:type="pct"/>
            <w:tcBorders>
              <w:top w:val="single" w:sz="4" w:space="0" w:color="auto"/>
              <w:bottom w:val="single" w:sz="4" w:space="0" w:color="auto"/>
            </w:tcBorders>
            <w:vAlign w:val="center"/>
          </w:tcPr>
          <w:p w14:paraId="755D65F2"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0</w:t>
            </w:r>
          </w:p>
        </w:tc>
        <w:tc>
          <w:tcPr>
            <w:tcW w:w="368" w:type="pct"/>
            <w:tcBorders>
              <w:top w:val="single" w:sz="4" w:space="0" w:color="auto"/>
              <w:bottom w:val="single" w:sz="4" w:space="0" w:color="auto"/>
            </w:tcBorders>
            <w:vAlign w:val="center"/>
          </w:tcPr>
          <w:p w14:paraId="1B1CEC0D"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120</w:t>
            </w:r>
          </w:p>
        </w:tc>
        <w:tc>
          <w:tcPr>
            <w:tcW w:w="364" w:type="pct"/>
            <w:tcBorders>
              <w:top w:val="single" w:sz="4" w:space="0" w:color="auto"/>
              <w:bottom w:val="single" w:sz="4" w:space="0" w:color="auto"/>
              <w:right w:val="single" w:sz="4" w:space="0" w:color="auto"/>
            </w:tcBorders>
            <w:vAlign w:val="center"/>
          </w:tcPr>
          <w:p w14:paraId="3F98815E"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100</w:t>
            </w:r>
          </w:p>
        </w:tc>
        <w:tc>
          <w:tcPr>
            <w:tcW w:w="323" w:type="pct"/>
            <w:tcBorders>
              <w:top w:val="single" w:sz="4" w:space="0" w:color="auto"/>
              <w:left w:val="single" w:sz="4" w:space="0" w:color="auto"/>
              <w:bottom w:val="single" w:sz="4" w:space="0" w:color="auto"/>
            </w:tcBorders>
            <w:vAlign w:val="center"/>
          </w:tcPr>
          <w:p w14:paraId="58A7DA66"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829</w:t>
            </w:r>
          </w:p>
        </w:tc>
        <w:tc>
          <w:tcPr>
            <w:tcW w:w="272" w:type="pct"/>
            <w:tcBorders>
              <w:top w:val="single" w:sz="4" w:space="0" w:color="auto"/>
              <w:bottom w:val="single" w:sz="4" w:space="0" w:color="auto"/>
            </w:tcBorders>
            <w:vAlign w:val="center"/>
          </w:tcPr>
          <w:p w14:paraId="3A72606F"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11</w:t>
            </w:r>
          </w:p>
        </w:tc>
        <w:tc>
          <w:tcPr>
            <w:tcW w:w="326" w:type="pct"/>
            <w:tcBorders>
              <w:top w:val="single" w:sz="4" w:space="0" w:color="auto"/>
              <w:bottom w:val="single" w:sz="4" w:space="0" w:color="auto"/>
            </w:tcBorders>
            <w:vAlign w:val="center"/>
          </w:tcPr>
          <w:p w14:paraId="50EA52F2"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840</w:t>
            </w:r>
          </w:p>
        </w:tc>
        <w:tc>
          <w:tcPr>
            <w:tcW w:w="323" w:type="pct"/>
            <w:tcBorders>
              <w:top w:val="single" w:sz="4" w:space="0" w:color="auto"/>
              <w:bottom w:val="single" w:sz="4" w:space="0" w:color="auto"/>
              <w:right w:val="single" w:sz="4" w:space="0" w:color="auto"/>
            </w:tcBorders>
            <w:vAlign w:val="center"/>
          </w:tcPr>
          <w:p w14:paraId="487CF8D6"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99</w:t>
            </w:r>
          </w:p>
        </w:tc>
      </w:tr>
      <w:tr w:rsidR="004D1167" w:rsidRPr="004D1167" w14:paraId="210ED16C" w14:textId="77777777" w:rsidTr="005E036D">
        <w:trPr>
          <w:trHeight w:val="521"/>
        </w:trPr>
        <w:tc>
          <w:tcPr>
            <w:tcW w:w="898" w:type="pct"/>
            <w:tcBorders>
              <w:bottom w:val="single" w:sz="4" w:space="0" w:color="auto"/>
              <w:right w:val="single" w:sz="4" w:space="0" w:color="auto"/>
            </w:tcBorders>
            <w:vAlign w:val="center"/>
          </w:tcPr>
          <w:p w14:paraId="5BB54F7B" w14:textId="77777777" w:rsidR="004D1167" w:rsidRPr="004D1167" w:rsidRDefault="004D1167" w:rsidP="00035C58">
            <w:pPr>
              <w:spacing w:line="276" w:lineRule="auto"/>
              <w:rPr>
                <w:rFonts w:ascii="Times New Roman" w:hAnsi="Times New Roman" w:cs="Times New Roman"/>
                <w:sz w:val="20"/>
                <w:szCs w:val="20"/>
              </w:rPr>
            </w:pPr>
            <w:r w:rsidRPr="004D1167">
              <w:rPr>
                <w:rFonts w:ascii="Times New Roman" w:hAnsi="Times New Roman" w:cs="Times New Roman"/>
                <w:sz w:val="20"/>
                <w:szCs w:val="20"/>
              </w:rPr>
              <w:t>Completeness</w:t>
            </w:r>
          </w:p>
        </w:tc>
        <w:tc>
          <w:tcPr>
            <w:tcW w:w="368" w:type="pct"/>
            <w:tcBorders>
              <w:top w:val="single" w:sz="4" w:space="0" w:color="auto"/>
              <w:left w:val="single" w:sz="4" w:space="0" w:color="auto"/>
              <w:bottom w:val="single" w:sz="4" w:space="0" w:color="auto"/>
            </w:tcBorders>
            <w:vAlign w:val="center"/>
          </w:tcPr>
          <w:p w14:paraId="55B6F8AD"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274</w:t>
            </w:r>
          </w:p>
        </w:tc>
        <w:tc>
          <w:tcPr>
            <w:tcW w:w="345" w:type="pct"/>
            <w:tcBorders>
              <w:top w:val="single" w:sz="4" w:space="0" w:color="auto"/>
              <w:bottom w:val="single" w:sz="4" w:space="0" w:color="auto"/>
            </w:tcBorders>
            <w:vAlign w:val="center"/>
          </w:tcPr>
          <w:p w14:paraId="676EDA44"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12</w:t>
            </w:r>
          </w:p>
        </w:tc>
        <w:tc>
          <w:tcPr>
            <w:tcW w:w="371" w:type="pct"/>
            <w:tcBorders>
              <w:top w:val="single" w:sz="4" w:space="0" w:color="auto"/>
              <w:bottom w:val="single" w:sz="4" w:space="0" w:color="auto"/>
            </w:tcBorders>
            <w:vAlign w:val="center"/>
          </w:tcPr>
          <w:p w14:paraId="22B83F3E"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286</w:t>
            </w:r>
          </w:p>
        </w:tc>
        <w:tc>
          <w:tcPr>
            <w:tcW w:w="369" w:type="pct"/>
            <w:tcBorders>
              <w:top w:val="single" w:sz="4" w:space="0" w:color="auto"/>
              <w:bottom w:val="single" w:sz="4" w:space="0" w:color="auto"/>
              <w:right w:val="single" w:sz="4" w:space="0" w:color="auto"/>
            </w:tcBorders>
            <w:vAlign w:val="center"/>
          </w:tcPr>
          <w:p w14:paraId="115EED84"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96</w:t>
            </w:r>
          </w:p>
        </w:tc>
        <w:tc>
          <w:tcPr>
            <w:tcW w:w="364" w:type="pct"/>
            <w:tcBorders>
              <w:top w:val="single" w:sz="4" w:space="0" w:color="auto"/>
              <w:left w:val="single" w:sz="4" w:space="0" w:color="auto"/>
              <w:bottom w:val="single" w:sz="4" w:space="0" w:color="auto"/>
            </w:tcBorders>
            <w:vAlign w:val="center"/>
          </w:tcPr>
          <w:p w14:paraId="01CA9914"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w:t>
            </w:r>
          </w:p>
        </w:tc>
        <w:tc>
          <w:tcPr>
            <w:tcW w:w="309" w:type="pct"/>
            <w:tcBorders>
              <w:top w:val="single" w:sz="4" w:space="0" w:color="auto"/>
              <w:bottom w:val="single" w:sz="4" w:space="0" w:color="auto"/>
            </w:tcBorders>
            <w:vAlign w:val="center"/>
          </w:tcPr>
          <w:p w14:paraId="545F499D"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9</w:t>
            </w:r>
          </w:p>
        </w:tc>
        <w:tc>
          <w:tcPr>
            <w:tcW w:w="368" w:type="pct"/>
            <w:tcBorders>
              <w:top w:val="single" w:sz="4" w:space="0" w:color="auto"/>
              <w:bottom w:val="single" w:sz="4" w:space="0" w:color="auto"/>
            </w:tcBorders>
            <w:vAlign w:val="center"/>
          </w:tcPr>
          <w:p w14:paraId="6697F276"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10</w:t>
            </w:r>
          </w:p>
        </w:tc>
        <w:tc>
          <w:tcPr>
            <w:tcW w:w="364" w:type="pct"/>
            <w:tcBorders>
              <w:top w:val="single" w:sz="4" w:space="0" w:color="auto"/>
              <w:bottom w:val="single" w:sz="4" w:space="0" w:color="auto"/>
              <w:right w:val="single" w:sz="4" w:space="0" w:color="auto"/>
            </w:tcBorders>
            <w:vAlign w:val="center"/>
          </w:tcPr>
          <w:p w14:paraId="6E3D9552"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10</w:t>
            </w:r>
          </w:p>
        </w:tc>
        <w:tc>
          <w:tcPr>
            <w:tcW w:w="323" w:type="pct"/>
            <w:tcBorders>
              <w:top w:val="single" w:sz="4" w:space="0" w:color="auto"/>
              <w:left w:val="single" w:sz="4" w:space="0" w:color="auto"/>
              <w:bottom w:val="single" w:sz="4" w:space="0" w:color="auto"/>
            </w:tcBorders>
            <w:vAlign w:val="center"/>
          </w:tcPr>
          <w:p w14:paraId="4B965FAD"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275</w:t>
            </w:r>
          </w:p>
        </w:tc>
        <w:tc>
          <w:tcPr>
            <w:tcW w:w="272" w:type="pct"/>
            <w:tcBorders>
              <w:top w:val="single" w:sz="4" w:space="0" w:color="auto"/>
              <w:bottom w:val="single" w:sz="4" w:space="0" w:color="auto"/>
            </w:tcBorders>
            <w:vAlign w:val="center"/>
          </w:tcPr>
          <w:p w14:paraId="62E15779"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21</w:t>
            </w:r>
          </w:p>
        </w:tc>
        <w:tc>
          <w:tcPr>
            <w:tcW w:w="326" w:type="pct"/>
            <w:tcBorders>
              <w:top w:val="single" w:sz="4" w:space="0" w:color="auto"/>
              <w:bottom w:val="single" w:sz="4" w:space="0" w:color="auto"/>
            </w:tcBorders>
            <w:vAlign w:val="center"/>
          </w:tcPr>
          <w:p w14:paraId="79E59ECF"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296</w:t>
            </w:r>
          </w:p>
        </w:tc>
        <w:tc>
          <w:tcPr>
            <w:tcW w:w="323" w:type="pct"/>
            <w:tcBorders>
              <w:top w:val="single" w:sz="4" w:space="0" w:color="auto"/>
              <w:bottom w:val="single" w:sz="4" w:space="0" w:color="auto"/>
              <w:right w:val="single" w:sz="4" w:space="0" w:color="auto"/>
            </w:tcBorders>
            <w:vAlign w:val="center"/>
          </w:tcPr>
          <w:p w14:paraId="790A73F1"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93</w:t>
            </w:r>
          </w:p>
        </w:tc>
      </w:tr>
      <w:tr w:rsidR="004D1167" w:rsidRPr="004D1167" w14:paraId="05E9A335" w14:textId="77777777" w:rsidTr="005E036D">
        <w:trPr>
          <w:trHeight w:val="440"/>
        </w:trPr>
        <w:tc>
          <w:tcPr>
            <w:tcW w:w="898" w:type="pct"/>
            <w:tcBorders>
              <w:top w:val="single" w:sz="4" w:space="0" w:color="auto"/>
              <w:bottom w:val="single" w:sz="4" w:space="0" w:color="auto"/>
              <w:right w:val="single" w:sz="4" w:space="0" w:color="auto"/>
            </w:tcBorders>
            <w:vAlign w:val="center"/>
          </w:tcPr>
          <w:p w14:paraId="5084F33A" w14:textId="77777777" w:rsidR="004D1167" w:rsidRPr="004D1167" w:rsidRDefault="004D1167" w:rsidP="00035C58">
            <w:pPr>
              <w:spacing w:line="276" w:lineRule="auto"/>
              <w:rPr>
                <w:rFonts w:ascii="Times New Roman" w:hAnsi="Times New Roman" w:cs="Times New Roman"/>
                <w:sz w:val="20"/>
                <w:szCs w:val="20"/>
              </w:rPr>
            </w:pPr>
            <w:r w:rsidRPr="004D1167">
              <w:rPr>
                <w:rFonts w:ascii="Times New Roman" w:hAnsi="Times New Roman" w:cs="Times New Roman"/>
                <w:sz w:val="20"/>
                <w:szCs w:val="20"/>
              </w:rPr>
              <w:t>Total</w:t>
            </w:r>
          </w:p>
        </w:tc>
        <w:tc>
          <w:tcPr>
            <w:tcW w:w="368" w:type="pct"/>
            <w:tcBorders>
              <w:top w:val="single" w:sz="4" w:space="0" w:color="auto"/>
              <w:left w:val="single" w:sz="4" w:space="0" w:color="auto"/>
              <w:bottom w:val="single" w:sz="4" w:space="0" w:color="auto"/>
            </w:tcBorders>
            <w:vAlign w:val="center"/>
          </w:tcPr>
          <w:p w14:paraId="1773CD7E"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1139</w:t>
            </w:r>
          </w:p>
        </w:tc>
        <w:tc>
          <w:tcPr>
            <w:tcW w:w="345" w:type="pct"/>
            <w:tcBorders>
              <w:top w:val="single" w:sz="4" w:space="0" w:color="auto"/>
              <w:bottom w:val="single" w:sz="4" w:space="0" w:color="auto"/>
            </w:tcBorders>
            <w:vAlign w:val="center"/>
          </w:tcPr>
          <w:p w14:paraId="509F10F2"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13</w:t>
            </w:r>
          </w:p>
        </w:tc>
        <w:tc>
          <w:tcPr>
            <w:tcW w:w="371" w:type="pct"/>
            <w:tcBorders>
              <w:top w:val="single" w:sz="4" w:space="0" w:color="auto"/>
              <w:bottom w:val="single" w:sz="4" w:space="0" w:color="auto"/>
            </w:tcBorders>
            <w:vAlign w:val="center"/>
          </w:tcPr>
          <w:p w14:paraId="0159FA45"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1162</w:t>
            </w:r>
          </w:p>
        </w:tc>
        <w:tc>
          <w:tcPr>
            <w:tcW w:w="369" w:type="pct"/>
            <w:tcBorders>
              <w:top w:val="single" w:sz="4" w:space="0" w:color="auto"/>
              <w:bottom w:val="single" w:sz="4" w:space="0" w:color="auto"/>
              <w:right w:val="single" w:sz="4" w:space="0" w:color="auto"/>
            </w:tcBorders>
            <w:vAlign w:val="center"/>
          </w:tcPr>
          <w:p w14:paraId="73E2E12F"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98</w:t>
            </w:r>
          </w:p>
        </w:tc>
        <w:tc>
          <w:tcPr>
            <w:tcW w:w="364" w:type="pct"/>
            <w:tcBorders>
              <w:top w:val="single" w:sz="4" w:space="0" w:color="auto"/>
              <w:left w:val="single" w:sz="4" w:space="0" w:color="auto"/>
              <w:bottom w:val="single" w:sz="4" w:space="0" w:color="auto"/>
            </w:tcBorders>
            <w:vAlign w:val="center"/>
          </w:tcPr>
          <w:p w14:paraId="61E5CA26"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121</w:t>
            </w:r>
          </w:p>
        </w:tc>
        <w:tc>
          <w:tcPr>
            <w:tcW w:w="309" w:type="pct"/>
            <w:tcBorders>
              <w:top w:val="single" w:sz="4" w:space="0" w:color="auto"/>
              <w:bottom w:val="single" w:sz="4" w:space="0" w:color="auto"/>
            </w:tcBorders>
            <w:vAlign w:val="center"/>
          </w:tcPr>
          <w:p w14:paraId="478905C5"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9</w:t>
            </w:r>
          </w:p>
        </w:tc>
        <w:tc>
          <w:tcPr>
            <w:tcW w:w="368" w:type="pct"/>
            <w:tcBorders>
              <w:top w:val="single" w:sz="4" w:space="0" w:color="auto"/>
              <w:bottom w:val="single" w:sz="4" w:space="0" w:color="auto"/>
            </w:tcBorders>
            <w:vAlign w:val="center"/>
          </w:tcPr>
          <w:p w14:paraId="6EAF3AF8"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130</w:t>
            </w:r>
          </w:p>
        </w:tc>
        <w:tc>
          <w:tcPr>
            <w:tcW w:w="364" w:type="pct"/>
            <w:tcBorders>
              <w:top w:val="single" w:sz="4" w:space="0" w:color="auto"/>
              <w:bottom w:val="single" w:sz="4" w:space="0" w:color="auto"/>
              <w:right w:val="single" w:sz="4" w:space="0" w:color="auto"/>
            </w:tcBorders>
            <w:vAlign w:val="center"/>
          </w:tcPr>
          <w:p w14:paraId="53762538"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130</w:t>
            </w:r>
          </w:p>
        </w:tc>
        <w:tc>
          <w:tcPr>
            <w:tcW w:w="323" w:type="pct"/>
            <w:tcBorders>
              <w:top w:val="single" w:sz="4" w:space="0" w:color="auto"/>
              <w:left w:val="single" w:sz="4" w:space="0" w:color="auto"/>
              <w:bottom w:val="single" w:sz="4" w:space="0" w:color="auto"/>
            </w:tcBorders>
            <w:vAlign w:val="center"/>
          </w:tcPr>
          <w:p w14:paraId="767EA92F"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1260</w:t>
            </w:r>
          </w:p>
        </w:tc>
        <w:tc>
          <w:tcPr>
            <w:tcW w:w="272" w:type="pct"/>
            <w:tcBorders>
              <w:top w:val="single" w:sz="4" w:space="0" w:color="auto"/>
              <w:bottom w:val="single" w:sz="4" w:space="0" w:color="auto"/>
            </w:tcBorders>
            <w:vAlign w:val="center"/>
          </w:tcPr>
          <w:p w14:paraId="742D7A17"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32</w:t>
            </w:r>
          </w:p>
        </w:tc>
        <w:tc>
          <w:tcPr>
            <w:tcW w:w="326" w:type="pct"/>
            <w:tcBorders>
              <w:top w:val="single" w:sz="4" w:space="0" w:color="auto"/>
              <w:bottom w:val="single" w:sz="4" w:space="0" w:color="auto"/>
            </w:tcBorders>
            <w:vAlign w:val="center"/>
          </w:tcPr>
          <w:p w14:paraId="0FB1B4AD"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1292</w:t>
            </w:r>
          </w:p>
        </w:tc>
        <w:tc>
          <w:tcPr>
            <w:tcW w:w="323" w:type="pct"/>
            <w:tcBorders>
              <w:top w:val="single" w:sz="4" w:space="0" w:color="auto"/>
              <w:bottom w:val="single" w:sz="4" w:space="0" w:color="auto"/>
              <w:right w:val="single" w:sz="4" w:space="0" w:color="auto"/>
            </w:tcBorders>
            <w:vAlign w:val="center"/>
          </w:tcPr>
          <w:p w14:paraId="2F6D0F1D" w14:textId="77777777" w:rsidR="004D1167" w:rsidRPr="004D1167" w:rsidRDefault="004D1167" w:rsidP="00035C58">
            <w:pPr>
              <w:spacing w:line="276" w:lineRule="auto"/>
              <w:jc w:val="center"/>
              <w:rPr>
                <w:rFonts w:ascii="Times New Roman" w:hAnsi="Times New Roman" w:cs="Times New Roman"/>
                <w:sz w:val="20"/>
                <w:szCs w:val="20"/>
              </w:rPr>
            </w:pPr>
            <w:r w:rsidRPr="004D1167">
              <w:rPr>
                <w:rFonts w:ascii="Times New Roman" w:hAnsi="Times New Roman" w:cs="Times New Roman"/>
                <w:sz w:val="20"/>
                <w:szCs w:val="20"/>
              </w:rPr>
              <w:t>98</w:t>
            </w:r>
          </w:p>
        </w:tc>
      </w:tr>
    </w:tbl>
    <w:p w14:paraId="5D147D83" w14:textId="77777777" w:rsidR="004D1167" w:rsidRDefault="004D1167" w:rsidP="00ED0387">
      <w:pPr>
        <w:pStyle w:val="AMIABodyText"/>
        <w:spacing w:after="0"/>
      </w:pPr>
    </w:p>
    <w:p w14:paraId="58B5D3E1" w14:textId="6D7FFAF6" w:rsidR="00EC2E73" w:rsidRDefault="00672AF9" w:rsidP="00ED0387">
      <w:pPr>
        <w:pStyle w:val="AMIABodyText"/>
        <w:spacing w:after="0"/>
      </w:pPr>
      <w:r w:rsidRPr="00672AF9">
        <w:rPr>
          <w:b/>
          <w:bCs/>
        </w:rPr>
        <w:t xml:space="preserve">Table </w:t>
      </w:r>
      <w:r w:rsidR="00CE3771">
        <w:rPr>
          <w:b/>
          <w:bCs/>
        </w:rPr>
        <w:t>3</w:t>
      </w:r>
      <w:r w:rsidRPr="00672AF9">
        <w:t>.  Data quality assessment values for plausibility, conformance, and completeness for both Texas Health Resources (THR) and the University of Texas Southwestern Medical Center (UTSW).</w:t>
      </w:r>
    </w:p>
    <w:p w14:paraId="4E1D5D4F" w14:textId="77777777" w:rsidR="00FD1655" w:rsidRDefault="00FD1655" w:rsidP="00ED0387">
      <w:pPr>
        <w:pStyle w:val="AMIABodyText"/>
        <w:spacing w:after="0"/>
      </w:pPr>
    </w:p>
    <w:p w14:paraId="7A76D82A" w14:textId="77777777" w:rsidR="008D61E7" w:rsidRDefault="008D61E7" w:rsidP="00ED0387">
      <w:pPr>
        <w:pStyle w:val="AMIABodyText"/>
        <w:spacing w:after="0"/>
      </w:pPr>
    </w:p>
    <w:p w14:paraId="48EBB1B5" w14:textId="7CF0EADD" w:rsidR="00781CE1" w:rsidRDefault="00BA6D22" w:rsidP="00ED0387">
      <w:pPr>
        <w:pStyle w:val="AMIAHeading"/>
        <w:spacing w:before="0" w:after="0"/>
      </w:pPr>
      <w:r>
        <w:t xml:space="preserve">Discussion and </w:t>
      </w:r>
      <w:r w:rsidR="000876BD">
        <w:t>Conclusion</w:t>
      </w:r>
      <w:r>
        <w:t>s</w:t>
      </w:r>
    </w:p>
    <w:p w14:paraId="035A8B1E" w14:textId="40FD5CF7" w:rsidR="009F3F15" w:rsidRDefault="009F3F15" w:rsidP="009F3F15">
      <w:pPr>
        <w:pStyle w:val="AMIABodyText"/>
      </w:pPr>
      <w:r>
        <w:t xml:space="preserve">Our collaboration between UTSW and THR culminated in a demonstration of efficiency by employing existing infrastructure to implement the OMOP CDM in multiple locations.  By starting with Epic’s native ETL framework, we were able to avoid the burden of developing a new ETL system and reduced expenses and efforts for both implementation and maintenance.  Significant improvements in the quality of data were also developed through the standardized data mappings between the two institutions.  We were also able to increase the performance of the ETL process for both institutions, allowing for frequent data loads that can be completed in just a few hours.  </w:t>
      </w:r>
    </w:p>
    <w:p w14:paraId="4397B113" w14:textId="77777777" w:rsidR="009F3F15" w:rsidRDefault="009F3F15" w:rsidP="009F3F15">
      <w:pPr>
        <w:pStyle w:val="AMIABodyText"/>
      </w:pPr>
      <w:r>
        <w:t xml:space="preserve">The cooperative nature of our study demonstrates the feasibility of using Epic’s Caboodle infrastructure to facilitate cross-institutional research by reducing the overhead needed to implement the OMOP CDM at multiple institutions.  Our project demonstrates, in turn, that our approach has the potential to allow for the expansion of the OHDSI network, further improving the diversity and quality of available data.  Both of our study locations are now more capable of </w:t>
      </w:r>
      <w:r>
        <w:lastRenderedPageBreak/>
        <w:t>participating in large-scale observational health data research, expanding the availability of investigating clinical outcomes across increasingly more diverse patient populations.</w:t>
      </w:r>
    </w:p>
    <w:p w14:paraId="2D710211" w14:textId="4E76C6B7" w:rsidR="009F3F15" w:rsidRDefault="009F3F15" w:rsidP="009F3F15">
      <w:pPr>
        <w:pStyle w:val="AMIABodyText"/>
      </w:pPr>
      <w:r>
        <w:t xml:space="preserve">Future plans for this study include content additions such as episodes, using natural language processing for clinical notes and cost data for health economics.  The use of generative artificial intelligence and machine learning for data quality checks and analytics are also on the horizon, along with cloud enablement and cross-institutional linkages.  Additional focus will be on the utilization and value created </w:t>
      </w:r>
      <w:r w:rsidR="00855D54">
        <w:t>using</w:t>
      </w:r>
      <w:r>
        <w:t xml:space="preserve"> OMOP for research requests with UTSW and collaboration on new research studies.  </w:t>
      </w:r>
    </w:p>
    <w:p w14:paraId="4FA571AA" w14:textId="0C54186A" w:rsidR="009F3F15" w:rsidRPr="009F3F15" w:rsidRDefault="009F3F15" w:rsidP="009F3F15">
      <w:pPr>
        <w:pStyle w:val="AMIABodyText"/>
        <w:rPr>
          <w:i/>
          <w:iCs/>
        </w:rPr>
      </w:pPr>
      <w:r w:rsidRPr="009F3F15">
        <w:rPr>
          <w:i/>
          <w:iCs/>
        </w:rPr>
        <w:t xml:space="preserve"> Limitations and Solutions</w:t>
      </w:r>
    </w:p>
    <w:p w14:paraId="19066099" w14:textId="77777777" w:rsidR="009F3F15" w:rsidRDefault="009F3F15" w:rsidP="009F3F15">
      <w:pPr>
        <w:pStyle w:val="AMIABodyText"/>
      </w:pPr>
      <w:r>
        <w:t xml:space="preserve">In our study, we encountered limitations that must be discussed.  The first limitation is the long processing time needed for large datasets.  We collaborated with other CTSA partner institutions, Children’s Health and St. Jude Medical Center, to incorporate additional best practices and share coding resources to optimize the ETL process and reduce processing time. Secondly, during the nightly ETL process we faced failures due to a lack of space in the </w:t>
      </w:r>
      <w:proofErr w:type="spellStart"/>
      <w:r>
        <w:t>TempDB</w:t>
      </w:r>
      <w:proofErr w:type="spellEnd"/>
      <w:r>
        <w:t xml:space="preserve"> database. We determined this failure was caused because the </w:t>
      </w:r>
      <w:proofErr w:type="spellStart"/>
      <w:r>
        <w:t>TempDB</w:t>
      </w:r>
      <w:proofErr w:type="spellEnd"/>
      <w:r>
        <w:t xml:space="preserve"> database was not configured to auto-grow.  To fix this issue, we increased the space allocation for </w:t>
      </w:r>
      <w:proofErr w:type="spellStart"/>
      <w:r>
        <w:t>TempDB</w:t>
      </w:r>
      <w:proofErr w:type="spellEnd"/>
      <w:r>
        <w:t xml:space="preserve"> and adjusted the drug exposure lookback period.</w:t>
      </w:r>
    </w:p>
    <w:p w14:paraId="5F1286FA" w14:textId="5A1830B9" w:rsidR="009F3F15" w:rsidRDefault="009F3F15" w:rsidP="009F3F15">
      <w:pPr>
        <w:pStyle w:val="AMIABodyText"/>
        <w:spacing w:after="0"/>
      </w:pPr>
      <w:r>
        <w:t xml:space="preserve">An additional challenge was the increased size and diversity of THR’s healthcare system compared to UTSW.  Mapping the </w:t>
      </w:r>
      <w:r w:rsidR="09790848">
        <w:t>local EHR code</w:t>
      </w:r>
      <w:r>
        <w:t xml:space="preserve"> to the OMOP concepts was more challenging due to dissimilar vocabulary and code compared to UTSW.  THR utilized nursing informatics experts with extensive knowledge to complete and review the concept mapping process.  Additionally, the THR </w:t>
      </w:r>
      <w:r w:rsidR="0FB0726E">
        <w:t xml:space="preserve">table “Measurement” </w:t>
      </w:r>
      <w:r>
        <w:t>proved too large to successfully process in a single batch, as UTSW does.  After experimentation, THR is now able to run the ETL process in smaller batches of six months’ worth of data at a time</w:t>
      </w:r>
      <w:r w:rsidR="58ABA76F">
        <w:t xml:space="preserve"> for </w:t>
      </w:r>
      <w:r w:rsidR="653F8C50">
        <w:t>this table</w:t>
      </w:r>
      <w:r w:rsidR="58ABA76F">
        <w:t xml:space="preserve"> while other tables </w:t>
      </w:r>
      <w:r w:rsidR="1223A603">
        <w:t>can</w:t>
      </w:r>
      <w:r w:rsidR="58ABA76F">
        <w:t xml:space="preserve"> be exe</w:t>
      </w:r>
      <w:r w:rsidR="0B8363EA">
        <w:t>cuted in full</w:t>
      </w:r>
      <w:r>
        <w:t>.  UTSW is currently assisting THR to develop new processes that can better handle the amount of data that THR must convert into the OMOP common data model.</w:t>
      </w:r>
    </w:p>
    <w:p w14:paraId="4D6F4779" w14:textId="77777777" w:rsidR="000727BE" w:rsidRDefault="000727BE" w:rsidP="009F3F15">
      <w:pPr>
        <w:pStyle w:val="AMIABodyText"/>
        <w:spacing w:after="0"/>
      </w:pPr>
    </w:p>
    <w:p w14:paraId="2FEDEB09" w14:textId="77777777" w:rsidR="00532998" w:rsidRPr="00532998" w:rsidRDefault="00532998" w:rsidP="00532998">
      <w:pPr>
        <w:pStyle w:val="AMIABodyText"/>
        <w:rPr>
          <w:i/>
          <w:iCs/>
        </w:rPr>
      </w:pPr>
      <w:r w:rsidRPr="00532998">
        <w:rPr>
          <w:i/>
          <w:iCs/>
        </w:rPr>
        <w:t>Conclusion</w:t>
      </w:r>
    </w:p>
    <w:p w14:paraId="48F3247D" w14:textId="77777777" w:rsidR="00532998" w:rsidRDefault="00532998" w:rsidP="00532998">
      <w:pPr>
        <w:pStyle w:val="AMIABodyText"/>
        <w:spacing w:after="0"/>
      </w:pPr>
      <w:r>
        <w:t>The collaborative efforts between UTSW and THR demonstrate that leveraging existing Epic Caboodle ETL Infrastructure for OMOP CDM implementation is a practical and efficient strategy.  This sharable approach offers several benefits such as a reduction in operating costs, improved data quality, increased data load efficiency, minimal maintenance, increased involvement in large-scale research networks, and most importantly a scalable model for future implementations at other Epic EHR based health institutions.</w:t>
      </w:r>
      <w:r w:rsidR="009F3F15">
        <w:t xml:space="preserve"> </w:t>
      </w:r>
    </w:p>
    <w:p w14:paraId="150D592E" w14:textId="1CB78EEF" w:rsidR="00781CE1" w:rsidRDefault="000876BD" w:rsidP="00532998">
      <w:pPr>
        <w:pStyle w:val="AMIABodyText"/>
        <w:spacing w:after="0"/>
      </w:pPr>
      <w:r>
        <w:t xml:space="preserve"> </w:t>
      </w:r>
    </w:p>
    <w:p w14:paraId="3C22E6D1" w14:textId="77777777" w:rsidR="00781CE1" w:rsidRDefault="000876BD" w:rsidP="00ED0387">
      <w:pPr>
        <w:pStyle w:val="AMIAReferenceHeading"/>
        <w:spacing w:before="0" w:after="0"/>
      </w:pPr>
      <w:r>
        <w:t>References</w:t>
      </w:r>
    </w:p>
    <w:p w14:paraId="252F21EC" w14:textId="4FF377F0" w:rsidR="00BF50E4" w:rsidRDefault="00BF50E4" w:rsidP="00BF50E4">
      <w:pPr>
        <w:pStyle w:val="AMIAReference"/>
      </w:pPr>
      <w:r>
        <w:t xml:space="preserve">Hum R, Lane JC, Zhang G, </w:t>
      </w:r>
      <w:proofErr w:type="spellStart"/>
      <w:r>
        <w:t>Selles</w:t>
      </w:r>
      <w:proofErr w:type="spellEnd"/>
      <w:r>
        <w:t xml:space="preserve"> RW, </w:t>
      </w:r>
      <w:proofErr w:type="spellStart"/>
      <w:r>
        <w:t>Giladi</w:t>
      </w:r>
      <w:proofErr w:type="spellEnd"/>
      <w:r>
        <w:t xml:space="preserve"> AM. Observational Health Data Science and Informatics and Hand Surgery Research: Past, Present, and Future. J Hand Surg Am. 2024.</w:t>
      </w:r>
    </w:p>
    <w:p w14:paraId="1C3517BB" w14:textId="7EC2DB5C" w:rsidR="00BF50E4" w:rsidRDefault="00BF50E4" w:rsidP="00BF50E4">
      <w:pPr>
        <w:pStyle w:val="AMIAReference"/>
      </w:pPr>
      <w:proofErr w:type="spellStart"/>
      <w:r>
        <w:t>Schuemie</w:t>
      </w:r>
      <w:proofErr w:type="spellEnd"/>
      <w:r>
        <w:t xml:space="preserve"> MJ, Ryan PB, Pratt N, Chen R, You SC, </w:t>
      </w:r>
      <w:proofErr w:type="spellStart"/>
      <w:r>
        <w:t>Krumholz</w:t>
      </w:r>
      <w:proofErr w:type="spellEnd"/>
      <w:r>
        <w:t xml:space="preserve"> HM, et al. Large-scale evidence generation and evaluation across a network of databases (LEGEND): assessing validity using hypertension as a case study. J Am Med Inform Assoc. 2020;27(8):1268-77.</w:t>
      </w:r>
    </w:p>
    <w:p w14:paraId="3BDC0EDD" w14:textId="2F440628" w:rsidR="00BF50E4" w:rsidRDefault="00BF50E4" w:rsidP="00BF50E4">
      <w:pPr>
        <w:pStyle w:val="AMIAReference"/>
      </w:pPr>
      <w:r>
        <w:t>Clinical and Translational Science Award (CTSA) Program: UT Southwestern Medical Center; [Available from: https://www.utsouthwestern.edu/research/ctsa/.</w:t>
      </w:r>
    </w:p>
    <w:p w14:paraId="04331B64" w14:textId="23203912" w:rsidR="00BF50E4" w:rsidRDefault="00BF50E4" w:rsidP="00BF50E4">
      <w:pPr>
        <w:pStyle w:val="AMIAReference"/>
      </w:pPr>
      <w:r>
        <w:t xml:space="preserve">Basit MA, Varghese M, Vadsariya A, </w:t>
      </w:r>
      <w:proofErr w:type="spellStart"/>
      <w:r>
        <w:t>Nayee</w:t>
      </w:r>
      <w:proofErr w:type="spellEnd"/>
      <w:r>
        <w:t xml:space="preserve"> B, Langley M, Huynh A, et al. “OMOP Anywhere”: Daily Updates from EHR Data Leveraging Epic’s Native Tools.  2023 OHDSI Global Symposium; East Brunswick, New Jersey: Observational Health Data Sciences and Informatics; 2023.</w:t>
      </w:r>
    </w:p>
    <w:p w14:paraId="37AE7C68" w14:textId="7EB30AB6" w:rsidR="00BF50E4" w:rsidRDefault="00BF50E4" w:rsidP="00BF50E4">
      <w:pPr>
        <w:pStyle w:val="AMIAReference"/>
      </w:pPr>
      <w:proofErr w:type="spellStart"/>
      <w:r>
        <w:t>WhiteRabbit</w:t>
      </w:r>
      <w:proofErr w:type="spellEnd"/>
      <w:r>
        <w:t>: OHDSI; 2024 [Available from: http://ohdsi.github.io/WhiteRabbit.</w:t>
      </w:r>
    </w:p>
    <w:p w14:paraId="3BE77AA6" w14:textId="3254ACA6" w:rsidR="00BF50E4" w:rsidRDefault="00BF50E4" w:rsidP="00BF50E4">
      <w:pPr>
        <w:pStyle w:val="AMIAReference"/>
      </w:pPr>
      <w:proofErr w:type="spellStart"/>
      <w:r>
        <w:t>Schuemie</w:t>
      </w:r>
      <w:proofErr w:type="spellEnd"/>
      <w:r>
        <w:t xml:space="preserve"> M. Usagi: OHDSI; 2021 [Available from: http://ohdsi.github.io/Usagi/.</w:t>
      </w:r>
    </w:p>
    <w:p w14:paraId="3A58F61E" w14:textId="783F26D1" w:rsidR="00BF50E4" w:rsidRDefault="00BF50E4" w:rsidP="00BF50E4">
      <w:pPr>
        <w:pStyle w:val="AMIAReference"/>
      </w:pPr>
      <w:proofErr w:type="spellStart"/>
      <w:r>
        <w:t>Blacketer</w:t>
      </w:r>
      <w:proofErr w:type="spellEnd"/>
      <w:r>
        <w:t xml:space="preserve"> C, Voss E. Extract Transform Load in OMOP.  The Book of OHDSI: OHDSI; 2023.</w:t>
      </w:r>
    </w:p>
    <w:p w14:paraId="01E69F24" w14:textId="0457FC02" w:rsidR="00BF50E4" w:rsidRDefault="00BF50E4" w:rsidP="00BF50E4">
      <w:pPr>
        <w:pStyle w:val="AMIAReference"/>
      </w:pPr>
      <w:proofErr w:type="spellStart"/>
      <w:r>
        <w:t>DataQualityDashboard</w:t>
      </w:r>
      <w:proofErr w:type="spellEnd"/>
      <w:r>
        <w:t>: OHSDI; 2024 [Available from: https://ohdsi.github.io/DataQualityDashboard.</w:t>
      </w:r>
    </w:p>
    <w:p w14:paraId="1FCC0EDB" w14:textId="2E7946E3" w:rsidR="00781CE1" w:rsidRDefault="00BF50E4" w:rsidP="00BF50E4">
      <w:pPr>
        <w:pStyle w:val="AMIAReference"/>
      </w:pPr>
      <w:proofErr w:type="spellStart"/>
      <w:r>
        <w:t>Blacketer</w:t>
      </w:r>
      <w:proofErr w:type="spellEnd"/>
      <w:r>
        <w:t xml:space="preserve"> C, Voss E. Data Quality.  The Book of OHDSI: OHDSI; 2023.</w:t>
      </w:r>
    </w:p>
    <w:sectPr w:rsidR="00781CE1" w:rsidSect="009F7126">
      <w:headerReference w:type="default" r:id="rId12"/>
      <w:footerReference w:type="default" r:id="rId13"/>
      <w:type w:val="continuous"/>
      <w:pgSz w:w="12240" w:h="15840" w:code="1"/>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234969" w14:textId="77777777" w:rsidR="00315974" w:rsidRDefault="00315974">
      <w:r>
        <w:separator/>
      </w:r>
    </w:p>
  </w:endnote>
  <w:endnote w:type="continuationSeparator" w:id="0">
    <w:p w14:paraId="2462DAAD" w14:textId="77777777" w:rsidR="00315974" w:rsidRDefault="003159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5E1FD1F0" w14:paraId="494C9206" w14:textId="77777777" w:rsidTr="5E1FD1F0">
      <w:trPr>
        <w:trHeight w:val="300"/>
      </w:trPr>
      <w:tc>
        <w:tcPr>
          <w:tcW w:w="3120" w:type="dxa"/>
        </w:tcPr>
        <w:p w14:paraId="0378BD8C" w14:textId="6D6EF44E" w:rsidR="5E1FD1F0" w:rsidRDefault="5E1FD1F0" w:rsidP="5E1FD1F0">
          <w:pPr>
            <w:pStyle w:val="Header"/>
            <w:ind w:left="-115"/>
          </w:pPr>
        </w:p>
      </w:tc>
      <w:tc>
        <w:tcPr>
          <w:tcW w:w="3120" w:type="dxa"/>
        </w:tcPr>
        <w:p w14:paraId="13982F12" w14:textId="46F65047" w:rsidR="5E1FD1F0" w:rsidRDefault="5E1FD1F0" w:rsidP="5E1FD1F0">
          <w:pPr>
            <w:pStyle w:val="Header"/>
            <w:jc w:val="center"/>
          </w:pPr>
        </w:p>
      </w:tc>
      <w:tc>
        <w:tcPr>
          <w:tcW w:w="3120" w:type="dxa"/>
        </w:tcPr>
        <w:p w14:paraId="3458DDB5" w14:textId="5192C49B" w:rsidR="5E1FD1F0" w:rsidRDefault="5E1FD1F0" w:rsidP="5E1FD1F0">
          <w:pPr>
            <w:pStyle w:val="Header"/>
            <w:ind w:right="-115"/>
            <w:jc w:val="right"/>
          </w:pPr>
        </w:p>
      </w:tc>
    </w:tr>
  </w:tbl>
  <w:p w14:paraId="30BB1526" w14:textId="67DEE34B" w:rsidR="5E1FD1F0" w:rsidRDefault="5E1FD1F0" w:rsidP="5E1FD1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A2668D" w14:textId="77777777" w:rsidR="00315974" w:rsidRDefault="00315974">
      <w:r>
        <w:separator/>
      </w:r>
    </w:p>
  </w:footnote>
  <w:footnote w:type="continuationSeparator" w:id="0">
    <w:p w14:paraId="3CEEA924" w14:textId="77777777" w:rsidR="00315974" w:rsidRDefault="003159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5E1FD1F0" w14:paraId="238D5C58" w14:textId="77777777" w:rsidTr="5E1FD1F0">
      <w:trPr>
        <w:trHeight w:val="300"/>
      </w:trPr>
      <w:tc>
        <w:tcPr>
          <w:tcW w:w="3120" w:type="dxa"/>
        </w:tcPr>
        <w:p w14:paraId="3AC5FB8B" w14:textId="549ED49C" w:rsidR="5E1FD1F0" w:rsidRDefault="5E1FD1F0" w:rsidP="5E1FD1F0">
          <w:pPr>
            <w:pStyle w:val="Header"/>
            <w:ind w:left="-115"/>
          </w:pPr>
        </w:p>
      </w:tc>
      <w:tc>
        <w:tcPr>
          <w:tcW w:w="3120" w:type="dxa"/>
        </w:tcPr>
        <w:p w14:paraId="3398535A" w14:textId="3FE06090" w:rsidR="5E1FD1F0" w:rsidRDefault="5E1FD1F0" w:rsidP="5E1FD1F0">
          <w:pPr>
            <w:pStyle w:val="Header"/>
            <w:jc w:val="center"/>
          </w:pPr>
        </w:p>
      </w:tc>
      <w:tc>
        <w:tcPr>
          <w:tcW w:w="3120" w:type="dxa"/>
        </w:tcPr>
        <w:p w14:paraId="7DAA7AA6" w14:textId="78852128" w:rsidR="5E1FD1F0" w:rsidRDefault="5E1FD1F0" w:rsidP="5E1FD1F0">
          <w:pPr>
            <w:pStyle w:val="Header"/>
            <w:ind w:right="-115"/>
            <w:jc w:val="right"/>
          </w:pPr>
        </w:p>
      </w:tc>
    </w:tr>
  </w:tbl>
  <w:p w14:paraId="5A9D6C24" w14:textId="4409175E" w:rsidR="5E1FD1F0" w:rsidRDefault="5E1FD1F0" w:rsidP="5E1FD1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537C8"/>
    <w:multiLevelType w:val="singleLevel"/>
    <w:tmpl w:val="B9C09148"/>
    <w:lvl w:ilvl="0">
      <w:start w:val="1"/>
      <w:numFmt w:val="decimal"/>
      <w:pStyle w:val="AMIAReference"/>
      <w:lvlText w:val="%1."/>
      <w:lvlJc w:val="left"/>
      <w:pPr>
        <w:tabs>
          <w:tab w:val="num" w:pos="360"/>
        </w:tabs>
        <w:ind w:left="360" w:hanging="360"/>
      </w:pPr>
      <w:rPr>
        <w:rFonts w:cs="Times New Roman"/>
      </w:rPr>
    </w:lvl>
  </w:abstractNum>
  <w:num w:numId="1" w16cid:durableId="4927671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5D81"/>
    <w:rsid w:val="00001FF6"/>
    <w:rsid w:val="00016202"/>
    <w:rsid w:val="000347F7"/>
    <w:rsid w:val="00061121"/>
    <w:rsid w:val="000727BE"/>
    <w:rsid w:val="000876BD"/>
    <w:rsid w:val="00095185"/>
    <w:rsid w:val="000C54E2"/>
    <w:rsid w:val="000D451E"/>
    <w:rsid w:val="000F41E2"/>
    <w:rsid w:val="00123B63"/>
    <w:rsid w:val="00127660"/>
    <w:rsid w:val="00140412"/>
    <w:rsid w:val="00152DBC"/>
    <w:rsid w:val="00175477"/>
    <w:rsid w:val="00185B74"/>
    <w:rsid w:val="00191F16"/>
    <w:rsid w:val="001A47CF"/>
    <w:rsid w:val="001C76E3"/>
    <w:rsid w:val="001D1567"/>
    <w:rsid w:val="001D1BCD"/>
    <w:rsid w:val="001D3422"/>
    <w:rsid w:val="001D5D81"/>
    <w:rsid w:val="001F0A79"/>
    <w:rsid w:val="0020C6E9"/>
    <w:rsid w:val="0024760F"/>
    <w:rsid w:val="002835C5"/>
    <w:rsid w:val="002B2F75"/>
    <w:rsid w:val="002D5627"/>
    <w:rsid w:val="00305A9B"/>
    <w:rsid w:val="00315974"/>
    <w:rsid w:val="00322966"/>
    <w:rsid w:val="003256DE"/>
    <w:rsid w:val="003316C6"/>
    <w:rsid w:val="0035275E"/>
    <w:rsid w:val="003A14D8"/>
    <w:rsid w:val="003B0234"/>
    <w:rsid w:val="003B6A21"/>
    <w:rsid w:val="003C0115"/>
    <w:rsid w:val="003C6BE4"/>
    <w:rsid w:val="003C7056"/>
    <w:rsid w:val="003D19F4"/>
    <w:rsid w:val="003D5748"/>
    <w:rsid w:val="003E3350"/>
    <w:rsid w:val="003F7B18"/>
    <w:rsid w:val="004019EA"/>
    <w:rsid w:val="004464BE"/>
    <w:rsid w:val="00447D9D"/>
    <w:rsid w:val="00453466"/>
    <w:rsid w:val="00481FB8"/>
    <w:rsid w:val="004D08B6"/>
    <w:rsid w:val="004D1167"/>
    <w:rsid w:val="004D22BA"/>
    <w:rsid w:val="00500BD7"/>
    <w:rsid w:val="00531A86"/>
    <w:rsid w:val="00532998"/>
    <w:rsid w:val="00550CDC"/>
    <w:rsid w:val="00556080"/>
    <w:rsid w:val="00590340"/>
    <w:rsid w:val="005A287E"/>
    <w:rsid w:val="005B0F09"/>
    <w:rsid w:val="005E036D"/>
    <w:rsid w:val="005E0F74"/>
    <w:rsid w:val="00600255"/>
    <w:rsid w:val="00636609"/>
    <w:rsid w:val="00672AF9"/>
    <w:rsid w:val="0068068C"/>
    <w:rsid w:val="0069458E"/>
    <w:rsid w:val="00696DA5"/>
    <w:rsid w:val="00697E9E"/>
    <w:rsid w:val="006A0A8B"/>
    <w:rsid w:val="006A2950"/>
    <w:rsid w:val="006A6EFC"/>
    <w:rsid w:val="006C79A8"/>
    <w:rsid w:val="006D0A2C"/>
    <w:rsid w:val="006E41ED"/>
    <w:rsid w:val="006F7D22"/>
    <w:rsid w:val="00726B30"/>
    <w:rsid w:val="00737F46"/>
    <w:rsid w:val="00741BE9"/>
    <w:rsid w:val="00744D65"/>
    <w:rsid w:val="00781CE1"/>
    <w:rsid w:val="007B0264"/>
    <w:rsid w:val="007B0F22"/>
    <w:rsid w:val="007B4D7E"/>
    <w:rsid w:val="007B50DD"/>
    <w:rsid w:val="007C5BDF"/>
    <w:rsid w:val="007C7F31"/>
    <w:rsid w:val="007D4272"/>
    <w:rsid w:val="007D63B4"/>
    <w:rsid w:val="007E534A"/>
    <w:rsid w:val="007F0121"/>
    <w:rsid w:val="00812D54"/>
    <w:rsid w:val="00826B0D"/>
    <w:rsid w:val="008310C2"/>
    <w:rsid w:val="00842C12"/>
    <w:rsid w:val="00850D97"/>
    <w:rsid w:val="00855B02"/>
    <w:rsid w:val="00855D54"/>
    <w:rsid w:val="00857029"/>
    <w:rsid w:val="00862002"/>
    <w:rsid w:val="00862CDD"/>
    <w:rsid w:val="008803D4"/>
    <w:rsid w:val="00880AE8"/>
    <w:rsid w:val="00883CF0"/>
    <w:rsid w:val="00885900"/>
    <w:rsid w:val="00887953"/>
    <w:rsid w:val="00895E92"/>
    <w:rsid w:val="008A2E55"/>
    <w:rsid w:val="008B41C7"/>
    <w:rsid w:val="008D14CA"/>
    <w:rsid w:val="008D61E7"/>
    <w:rsid w:val="008E6278"/>
    <w:rsid w:val="00907431"/>
    <w:rsid w:val="0091752D"/>
    <w:rsid w:val="00922441"/>
    <w:rsid w:val="00924B71"/>
    <w:rsid w:val="00940944"/>
    <w:rsid w:val="00956D31"/>
    <w:rsid w:val="009913B9"/>
    <w:rsid w:val="009953BE"/>
    <w:rsid w:val="00995750"/>
    <w:rsid w:val="009A55F9"/>
    <w:rsid w:val="009A7C7F"/>
    <w:rsid w:val="009D02E1"/>
    <w:rsid w:val="009E61C6"/>
    <w:rsid w:val="009F3F15"/>
    <w:rsid w:val="009F7126"/>
    <w:rsid w:val="00A12050"/>
    <w:rsid w:val="00A33F82"/>
    <w:rsid w:val="00A574BB"/>
    <w:rsid w:val="00A94854"/>
    <w:rsid w:val="00AB57DD"/>
    <w:rsid w:val="00AC19B4"/>
    <w:rsid w:val="00AC695F"/>
    <w:rsid w:val="00AF2A0A"/>
    <w:rsid w:val="00B15F26"/>
    <w:rsid w:val="00B25EBD"/>
    <w:rsid w:val="00B30D9A"/>
    <w:rsid w:val="00B33883"/>
    <w:rsid w:val="00B431A1"/>
    <w:rsid w:val="00B52D0E"/>
    <w:rsid w:val="00B547B7"/>
    <w:rsid w:val="00BA3C08"/>
    <w:rsid w:val="00BA6D22"/>
    <w:rsid w:val="00BB349A"/>
    <w:rsid w:val="00BD30DA"/>
    <w:rsid w:val="00BE54EA"/>
    <w:rsid w:val="00BF50E4"/>
    <w:rsid w:val="00C109B0"/>
    <w:rsid w:val="00C220E1"/>
    <w:rsid w:val="00C25098"/>
    <w:rsid w:val="00C25132"/>
    <w:rsid w:val="00C435D4"/>
    <w:rsid w:val="00CA1D90"/>
    <w:rsid w:val="00CA1EF1"/>
    <w:rsid w:val="00CA3A90"/>
    <w:rsid w:val="00CA52ED"/>
    <w:rsid w:val="00CD1CE4"/>
    <w:rsid w:val="00CE3771"/>
    <w:rsid w:val="00CF0187"/>
    <w:rsid w:val="00CF11DB"/>
    <w:rsid w:val="00D10091"/>
    <w:rsid w:val="00D33A6B"/>
    <w:rsid w:val="00D34DCD"/>
    <w:rsid w:val="00D46783"/>
    <w:rsid w:val="00D72377"/>
    <w:rsid w:val="00D94D6B"/>
    <w:rsid w:val="00DA4570"/>
    <w:rsid w:val="00DC026C"/>
    <w:rsid w:val="00DC4B18"/>
    <w:rsid w:val="00DC6BAB"/>
    <w:rsid w:val="00DE4F0C"/>
    <w:rsid w:val="00DF50E9"/>
    <w:rsid w:val="00DF5E64"/>
    <w:rsid w:val="00E1053B"/>
    <w:rsid w:val="00E36CD4"/>
    <w:rsid w:val="00E40A62"/>
    <w:rsid w:val="00E700A6"/>
    <w:rsid w:val="00E81D55"/>
    <w:rsid w:val="00EA3C75"/>
    <w:rsid w:val="00EC29D2"/>
    <w:rsid w:val="00EC2E73"/>
    <w:rsid w:val="00EC774E"/>
    <w:rsid w:val="00ED0387"/>
    <w:rsid w:val="00EE7E40"/>
    <w:rsid w:val="00F01DC2"/>
    <w:rsid w:val="00F0247C"/>
    <w:rsid w:val="00F17F2E"/>
    <w:rsid w:val="00F54424"/>
    <w:rsid w:val="00F66156"/>
    <w:rsid w:val="00F67C88"/>
    <w:rsid w:val="00F70CA6"/>
    <w:rsid w:val="00F87FE6"/>
    <w:rsid w:val="00FB52BA"/>
    <w:rsid w:val="00FC527D"/>
    <w:rsid w:val="00FD1655"/>
    <w:rsid w:val="00FD4768"/>
    <w:rsid w:val="00FD64C2"/>
    <w:rsid w:val="00FF2CBE"/>
    <w:rsid w:val="0239AE04"/>
    <w:rsid w:val="054EF820"/>
    <w:rsid w:val="072D5F66"/>
    <w:rsid w:val="07A15786"/>
    <w:rsid w:val="089D1742"/>
    <w:rsid w:val="0918E7CA"/>
    <w:rsid w:val="09790848"/>
    <w:rsid w:val="0A2E84AF"/>
    <w:rsid w:val="0B8363EA"/>
    <w:rsid w:val="0FB0726E"/>
    <w:rsid w:val="1223A603"/>
    <w:rsid w:val="158E5650"/>
    <w:rsid w:val="1B466050"/>
    <w:rsid w:val="1C23ABE1"/>
    <w:rsid w:val="1D9E0CCC"/>
    <w:rsid w:val="1F38EDBC"/>
    <w:rsid w:val="269A8F4F"/>
    <w:rsid w:val="2BB713E8"/>
    <w:rsid w:val="2C83EA02"/>
    <w:rsid w:val="30DB243B"/>
    <w:rsid w:val="30F04FBF"/>
    <w:rsid w:val="320BBB1D"/>
    <w:rsid w:val="320DECC0"/>
    <w:rsid w:val="36A3BB35"/>
    <w:rsid w:val="375B2208"/>
    <w:rsid w:val="380F8DBA"/>
    <w:rsid w:val="41175029"/>
    <w:rsid w:val="417875EE"/>
    <w:rsid w:val="423457AA"/>
    <w:rsid w:val="4254A85F"/>
    <w:rsid w:val="42C08209"/>
    <w:rsid w:val="45516B3D"/>
    <w:rsid w:val="46BA7614"/>
    <w:rsid w:val="49081219"/>
    <w:rsid w:val="50811C58"/>
    <w:rsid w:val="54DC4C2A"/>
    <w:rsid w:val="58ABA76F"/>
    <w:rsid w:val="5A39796C"/>
    <w:rsid w:val="5B730AA9"/>
    <w:rsid w:val="5CEB1B26"/>
    <w:rsid w:val="5E1FD1F0"/>
    <w:rsid w:val="6283E523"/>
    <w:rsid w:val="64AF37DF"/>
    <w:rsid w:val="653F8C50"/>
    <w:rsid w:val="65B9D821"/>
    <w:rsid w:val="67AC0FAD"/>
    <w:rsid w:val="688A43B3"/>
    <w:rsid w:val="6C6247EC"/>
    <w:rsid w:val="6C64F012"/>
    <w:rsid w:val="6F5980E6"/>
    <w:rsid w:val="72EFB65A"/>
    <w:rsid w:val="73FC72FC"/>
    <w:rsid w:val="7488A4D6"/>
    <w:rsid w:val="76C0F99D"/>
    <w:rsid w:val="7E3427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66925A1"/>
  <w15:docId w15:val="{167443DD-2B35-40E3-B466-49B4A4FA8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D3422"/>
  </w:style>
  <w:style w:type="paragraph" w:styleId="Heading1">
    <w:name w:val="heading 1"/>
    <w:basedOn w:val="Normal"/>
    <w:next w:val="BodyText"/>
    <w:link w:val="Heading1Char"/>
    <w:uiPriority w:val="9"/>
    <w:qFormat/>
    <w:rsid w:val="001D3422"/>
    <w:pPr>
      <w:keepNext/>
      <w:keepLines/>
      <w:suppressAutoHyphens/>
      <w:spacing w:before="240" w:after="120"/>
      <w:jc w:val="center"/>
      <w:outlineLvl w:val="0"/>
    </w:pPr>
    <w:rPr>
      <w:b/>
      <w:spacing w:val="-3"/>
      <w:kern w:val="28"/>
    </w:rPr>
  </w:style>
  <w:style w:type="paragraph" w:styleId="Heading2">
    <w:name w:val="heading 2"/>
    <w:basedOn w:val="Normal"/>
    <w:next w:val="Normal"/>
    <w:link w:val="Heading2Char"/>
    <w:uiPriority w:val="9"/>
    <w:qFormat/>
    <w:rsid w:val="001D3422"/>
    <w:pPr>
      <w:keepNext/>
      <w:jc w:val="center"/>
      <w:outlineLvl w:val="1"/>
    </w:pPr>
    <w:rPr>
      <w:b/>
      <w:sz w:val="24"/>
    </w:rPr>
  </w:style>
  <w:style w:type="paragraph" w:styleId="Heading5">
    <w:name w:val="heading 5"/>
    <w:basedOn w:val="Normal"/>
    <w:next w:val="Normal"/>
    <w:link w:val="Heading5Char"/>
    <w:uiPriority w:val="9"/>
    <w:qFormat/>
    <w:rsid w:val="001D3422"/>
    <w:pPr>
      <w:keepNext/>
      <w:jc w:val="center"/>
      <w:outlineLvl w:val="4"/>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23B0"/>
    <w:rPr>
      <w:rFonts w:ascii="Cambria" w:eastAsia="Malgun Gothic" w:hAnsi="Cambria" w:cs="Times New Roman"/>
      <w:b/>
      <w:bCs/>
      <w:kern w:val="32"/>
      <w:sz w:val="32"/>
      <w:szCs w:val="32"/>
    </w:rPr>
  </w:style>
  <w:style w:type="character" w:customStyle="1" w:styleId="Heading2Char">
    <w:name w:val="Heading 2 Char"/>
    <w:basedOn w:val="DefaultParagraphFont"/>
    <w:link w:val="Heading2"/>
    <w:uiPriority w:val="9"/>
    <w:semiHidden/>
    <w:rsid w:val="006323B0"/>
    <w:rPr>
      <w:rFonts w:ascii="Cambria" w:eastAsia="Malgun Gothic" w:hAnsi="Cambria" w:cs="Times New Roman"/>
      <w:b/>
      <w:bCs/>
      <w:i/>
      <w:iCs/>
      <w:sz w:val="28"/>
      <w:szCs w:val="28"/>
    </w:rPr>
  </w:style>
  <w:style w:type="character" w:customStyle="1" w:styleId="Heading5Char">
    <w:name w:val="Heading 5 Char"/>
    <w:basedOn w:val="DefaultParagraphFont"/>
    <w:link w:val="Heading5"/>
    <w:uiPriority w:val="9"/>
    <w:semiHidden/>
    <w:rsid w:val="006323B0"/>
    <w:rPr>
      <w:rFonts w:ascii="Calibri" w:eastAsia="Malgun Gothic" w:hAnsi="Calibri" w:cs="Times New Roman"/>
      <w:b/>
      <w:bCs/>
      <w:i/>
      <w:iCs/>
      <w:sz w:val="26"/>
      <w:szCs w:val="26"/>
    </w:rPr>
  </w:style>
  <w:style w:type="paragraph" w:styleId="BodyText">
    <w:name w:val="Body Text"/>
    <w:basedOn w:val="Normal"/>
    <w:link w:val="BodyTextChar"/>
    <w:uiPriority w:val="99"/>
    <w:rsid w:val="00CD1CE4"/>
    <w:pPr>
      <w:suppressAutoHyphens/>
      <w:spacing w:after="160"/>
      <w:jc w:val="both"/>
    </w:pPr>
  </w:style>
  <w:style w:type="character" w:customStyle="1" w:styleId="BodyTextChar">
    <w:name w:val="Body Text Char"/>
    <w:basedOn w:val="DefaultParagraphFont"/>
    <w:link w:val="BodyText"/>
    <w:uiPriority w:val="99"/>
    <w:semiHidden/>
    <w:rsid w:val="006323B0"/>
  </w:style>
  <w:style w:type="paragraph" w:styleId="Date">
    <w:name w:val="Date"/>
    <w:basedOn w:val="BodyText"/>
    <w:link w:val="DateChar"/>
    <w:uiPriority w:val="99"/>
    <w:rsid w:val="001D3422"/>
    <w:pPr>
      <w:jc w:val="center"/>
    </w:pPr>
  </w:style>
  <w:style w:type="character" w:customStyle="1" w:styleId="DateChar">
    <w:name w:val="Date Char"/>
    <w:basedOn w:val="DefaultParagraphFont"/>
    <w:link w:val="Date"/>
    <w:uiPriority w:val="99"/>
    <w:semiHidden/>
    <w:rsid w:val="006323B0"/>
  </w:style>
  <w:style w:type="character" w:styleId="EndnoteReference">
    <w:name w:val="endnote reference"/>
    <w:basedOn w:val="DefaultParagraphFont"/>
    <w:uiPriority w:val="99"/>
    <w:semiHidden/>
    <w:rsid w:val="001D3422"/>
    <w:rPr>
      <w:vertAlign w:val="superscript"/>
    </w:rPr>
  </w:style>
  <w:style w:type="paragraph" w:styleId="EndnoteText">
    <w:name w:val="endnote text"/>
    <w:basedOn w:val="Normal"/>
    <w:link w:val="EndnoteTextChar"/>
    <w:uiPriority w:val="99"/>
    <w:semiHidden/>
    <w:rsid w:val="001D3422"/>
    <w:pPr>
      <w:tabs>
        <w:tab w:val="left" w:pos="187"/>
      </w:tabs>
      <w:suppressAutoHyphens/>
      <w:spacing w:after="120" w:line="220" w:lineRule="exact"/>
      <w:ind w:left="187" w:hanging="187"/>
      <w:jc w:val="both"/>
    </w:pPr>
    <w:rPr>
      <w:spacing w:val="-3"/>
    </w:rPr>
  </w:style>
  <w:style w:type="character" w:customStyle="1" w:styleId="EndnoteTextChar">
    <w:name w:val="Endnote Text Char"/>
    <w:basedOn w:val="DefaultParagraphFont"/>
    <w:link w:val="EndnoteText"/>
    <w:uiPriority w:val="99"/>
    <w:semiHidden/>
    <w:rsid w:val="006323B0"/>
  </w:style>
  <w:style w:type="paragraph" w:customStyle="1" w:styleId="abstract">
    <w:name w:val="abstract"/>
    <w:basedOn w:val="BodyText"/>
    <w:rsid w:val="001D3422"/>
    <w:rPr>
      <w:i/>
    </w:rPr>
  </w:style>
  <w:style w:type="paragraph" w:customStyle="1" w:styleId="AMIABodyText">
    <w:name w:val="AMIA Body Text"/>
    <w:basedOn w:val="Normal"/>
    <w:rsid w:val="003D5748"/>
    <w:pPr>
      <w:suppressAutoHyphens/>
      <w:spacing w:after="120"/>
      <w:jc w:val="both"/>
    </w:pPr>
  </w:style>
  <w:style w:type="paragraph" w:styleId="BodyTextIndent">
    <w:name w:val="Body Text Indent"/>
    <w:basedOn w:val="Normal"/>
    <w:link w:val="BodyTextIndentChar"/>
    <w:uiPriority w:val="99"/>
    <w:rsid w:val="001D3422"/>
    <w:pPr>
      <w:spacing w:line="480" w:lineRule="auto"/>
      <w:ind w:firstLine="720"/>
    </w:pPr>
    <w:rPr>
      <w:sz w:val="24"/>
    </w:rPr>
  </w:style>
  <w:style w:type="character" w:customStyle="1" w:styleId="BodyTextIndentChar">
    <w:name w:val="Body Text Indent Char"/>
    <w:basedOn w:val="DefaultParagraphFont"/>
    <w:link w:val="BodyTextIndent"/>
    <w:uiPriority w:val="99"/>
    <w:semiHidden/>
    <w:rsid w:val="006323B0"/>
  </w:style>
  <w:style w:type="paragraph" w:styleId="BodyTextIndent2">
    <w:name w:val="Body Text Indent 2"/>
    <w:basedOn w:val="Normal"/>
    <w:link w:val="BodyTextIndent2Char"/>
    <w:uiPriority w:val="99"/>
    <w:rsid w:val="001D3422"/>
    <w:pPr>
      <w:spacing w:line="480" w:lineRule="auto"/>
      <w:ind w:firstLine="720"/>
    </w:pPr>
    <w:rPr>
      <w:b/>
      <w:sz w:val="24"/>
    </w:rPr>
  </w:style>
  <w:style w:type="character" w:customStyle="1" w:styleId="BodyTextIndent2Char">
    <w:name w:val="Body Text Indent 2 Char"/>
    <w:basedOn w:val="DefaultParagraphFont"/>
    <w:link w:val="BodyTextIndent2"/>
    <w:uiPriority w:val="99"/>
    <w:semiHidden/>
    <w:rsid w:val="006323B0"/>
  </w:style>
  <w:style w:type="paragraph" w:styleId="BodyText3">
    <w:name w:val="Body Text 3"/>
    <w:basedOn w:val="Normal"/>
    <w:link w:val="BodyText3Char"/>
    <w:uiPriority w:val="99"/>
    <w:rsid w:val="001D3422"/>
    <w:rPr>
      <w:i/>
    </w:rPr>
  </w:style>
  <w:style w:type="character" w:customStyle="1" w:styleId="BodyText3Char">
    <w:name w:val="Body Text 3 Char"/>
    <w:basedOn w:val="DefaultParagraphFont"/>
    <w:link w:val="BodyText3"/>
    <w:uiPriority w:val="99"/>
    <w:semiHidden/>
    <w:rsid w:val="006323B0"/>
    <w:rPr>
      <w:sz w:val="16"/>
      <w:szCs w:val="16"/>
    </w:rPr>
  </w:style>
  <w:style w:type="paragraph" w:styleId="List">
    <w:name w:val="List"/>
    <w:basedOn w:val="Normal"/>
    <w:uiPriority w:val="99"/>
    <w:rsid w:val="001D3422"/>
    <w:pPr>
      <w:ind w:left="360" w:hanging="360"/>
    </w:pPr>
  </w:style>
  <w:style w:type="paragraph" w:styleId="Footer">
    <w:name w:val="footer"/>
    <w:basedOn w:val="Normal"/>
    <w:link w:val="FooterChar"/>
    <w:uiPriority w:val="99"/>
    <w:rsid w:val="001D3422"/>
    <w:pPr>
      <w:tabs>
        <w:tab w:val="center" w:pos="4320"/>
        <w:tab w:val="right" w:pos="8640"/>
      </w:tabs>
    </w:pPr>
  </w:style>
  <w:style w:type="character" w:customStyle="1" w:styleId="FooterChar">
    <w:name w:val="Footer Char"/>
    <w:basedOn w:val="DefaultParagraphFont"/>
    <w:link w:val="Footer"/>
    <w:uiPriority w:val="99"/>
    <w:semiHidden/>
    <w:rsid w:val="006323B0"/>
  </w:style>
  <w:style w:type="character" w:styleId="PageNumber">
    <w:name w:val="page number"/>
    <w:basedOn w:val="DefaultParagraphFont"/>
    <w:uiPriority w:val="99"/>
    <w:rsid w:val="001D3422"/>
    <w:rPr>
      <w:rFonts w:cs="Times New Roman"/>
    </w:rPr>
  </w:style>
  <w:style w:type="paragraph" w:customStyle="1" w:styleId="AMIATitle">
    <w:name w:val="AMIA Title"/>
    <w:basedOn w:val="Normal"/>
    <w:next w:val="AMIAAuthors"/>
    <w:rsid w:val="003D5748"/>
    <w:pPr>
      <w:spacing w:after="280"/>
      <w:jc w:val="center"/>
    </w:pPr>
    <w:rPr>
      <w:b/>
      <w:sz w:val="28"/>
    </w:rPr>
  </w:style>
  <w:style w:type="paragraph" w:customStyle="1" w:styleId="AMIAAuthors">
    <w:name w:val="AMIA Authors"/>
    <w:basedOn w:val="Normal"/>
    <w:next w:val="AMIAAffiliations"/>
    <w:rsid w:val="00B547B7"/>
    <w:pPr>
      <w:jc w:val="center"/>
    </w:pPr>
    <w:rPr>
      <w:b/>
      <w:sz w:val="24"/>
    </w:rPr>
  </w:style>
  <w:style w:type="paragraph" w:customStyle="1" w:styleId="AMIAAffiliations">
    <w:name w:val="AMIA Affiliations"/>
    <w:basedOn w:val="Normal"/>
    <w:rsid w:val="00CD1CE4"/>
    <w:pPr>
      <w:spacing w:after="240"/>
      <w:jc w:val="center"/>
    </w:pPr>
    <w:rPr>
      <w:b/>
      <w:sz w:val="24"/>
    </w:rPr>
  </w:style>
  <w:style w:type="paragraph" w:customStyle="1" w:styleId="AMIAAbstract">
    <w:name w:val="AMIA Abstract"/>
    <w:basedOn w:val="Normal"/>
    <w:rsid w:val="00885900"/>
    <w:pPr>
      <w:spacing w:after="120"/>
      <w:jc w:val="both"/>
    </w:pPr>
    <w:rPr>
      <w:i/>
    </w:rPr>
  </w:style>
  <w:style w:type="paragraph" w:customStyle="1" w:styleId="AMIAHeading">
    <w:name w:val="AMIA Heading"/>
    <w:basedOn w:val="Normal"/>
    <w:rsid w:val="00BE54EA"/>
    <w:pPr>
      <w:keepNext/>
      <w:spacing w:before="120" w:after="120"/>
      <w:jc w:val="both"/>
      <w:outlineLvl w:val="0"/>
    </w:pPr>
    <w:rPr>
      <w:b/>
    </w:rPr>
  </w:style>
  <w:style w:type="paragraph" w:customStyle="1" w:styleId="AMIASuperscript">
    <w:name w:val="AMIA Superscript"/>
    <w:basedOn w:val="Normal"/>
    <w:link w:val="AMIASuperscriptChar"/>
    <w:rsid w:val="00DC4B18"/>
    <w:rPr>
      <w:sz w:val="16"/>
      <w:vertAlign w:val="superscript"/>
    </w:rPr>
  </w:style>
  <w:style w:type="paragraph" w:customStyle="1" w:styleId="AMIAAbstractHeading">
    <w:name w:val="AMIA Abstract Heading"/>
    <w:basedOn w:val="AMIAHeading"/>
    <w:rsid w:val="00BE54EA"/>
    <w:pPr>
      <w:spacing w:before="0"/>
    </w:pPr>
  </w:style>
  <w:style w:type="paragraph" w:customStyle="1" w:styleId="AMIAReferenceHeading">
    <w:name w:val="AMIA Reference Heading"/>
    <w:basedOn w:val="AMIAHeading"/>
    <w:rsid w:val="00885900"/>
    <w:pPr>
      <w:jc w:val="center"/>
    </w:pPr>
  </w:style>
  <w:style w:type="paragraph" w:customStyle="1" w:styleId="AMIAReference">
    <w:name w:val="AMIA Reference"/>
    <w:basedOn w:val="Normal"/>
    <w:rsid w:val="00726B30"/>
    <w:pPr>
      <w:numPr>
        <w:numId w:val="1"/>
      </w:numPr>
      <w:jc w:val="both"/>
    </w:pPr>
  </w:style>
  <w:style w:type="character" w:customStyle="1" w:styleId="AMIASuperscriptChar">
    <w:name w:val="AMIA Superscript Char"/>
    <w:basedOn w:val="DefaultParagraphFont"/>
    <w:link w:val="AMIASuperscript"/>
    <w:locked/>
    <w:rsid w:val="00590340"/>
    <w:rPr>
      <w:rFonts w:cs="Times New Roman"/>
      <w:sz w:val="16"/>
      <w:vertAlign w:val="superscript"/>
      <w:lang w:val="en-US" w:eastAsia="en-US" w:bidi="ar-SA"/>
    </w:rPr>
  </w:style>
  <w:style w:type="paragraph" w:styleId="Header">
    <w:name w:val="header"/>
    <w:basedOn w:val="Normal"/>
    <w:link w:val="HeaderChar"/>
    <w:uiPriority w:val="99"/>
    <w:rsid w:val="008E6278"/>
    <w:pPr>
      <w:tabs>
        <w:tab w:val="center" w:pos="4320"/>
        <w:tab w:val="right" w:pos="8640"/>
      </w:tabs>
    </w:pPr>
  </w:style>
  <w:style w:type="character" w:customStyle="1" w:styleId="HeaderChar">
    <w:name w:val="Header Char"/>
    <w:basedOn w:val="DefaultParagraphFont"/>
    <w:link w:val="Header"/>
    <w:uiPriority w:val="99"/>
    <w:semiHidden/>
    <w:rsid w:val="006323B0"/>
  </w:style>
  <w:style w:type="paragraph" w:styleId="BalloonText">
    <w:name w:val="Balloon Text"/>
    <w:basedOn w:val="Normal"/>
    <w:link w:val="BalloonTextChar"/>
    <w:rsid w:val="006A2950"/>
    <w:rPr>
      <w:rFonts w:ascii="Tahoma" w:hAnsi="Tahoma" w:cs="Tahoma"/>
      <w:sz w:val="16"/>
      <w:szCs w:val="16"/>
    </w:rPr>
  </w:style>
  <w:style w:type="character" w:customStyle="1" w:styleId="BalloonTextChar">
    <w:name w:val="Balloon Text Char"/>
    <w:basedOn w:val="DefaultParagraphFont"/>
    <w:link w:val="BalloonText"/>
    <w:rsid w:val="006A2950"/>
    <w:rPr>
      <w:rFonts w:ascii="Tahoma" w:hAnsi="Tahoma" w:cs="Tahoma"/>
      <w:sz w:val="16"/>
      <w:szCs w:val="16"/>
    </w:rPr>
  </w:style>
  <w:style w:type="character" w:styleId="CommentReference">
    <w:name w:val="annotation reference"/>
    <w:basedOn w:val="DefaultParagraphFont"/>
    <w:uiPriority w:val="99"/>
    <w:rsid w:val="00F17F2E"/>
    <w:rPr>
      <w:sz w:val="16"/>
      <w:szCs w:val="16"/>
    </w:rPr>
  </w:style>
  <w:style w:type="paragraph" w:styleId="CommentText">
    <w:name w:val="annotation text"/>
    <w:basedOn w:val="Normal"/>
    <w:link w:val="CommentTextChar"/>
    <w:uiPriority w:val="99"/>
    <w:rsid w:val="00F17F2E"/>
  </w:style>
  <w:style w:type="character" w:customStyle="1" w:styleId="CommentTextChar">
    <w:name w:val="Comment Text Char"/>
    <w:basedOn w:val="DefaultParagraphFont"/>
    <w:link w:val="CommentText"/>
    <w:uiPriority w:val="99"/>
    <w:rsid w:val="00F17F2E"/>
  </w:style>
  <w:style w:type="paragraph" w:styleId="CommentSubject">
    <w:name w:val="annotation subject"/>
    <w:basedOn w:val="CommentText"/>
    <w:next w:val="CommentText"/>
    <w:link w:val="CommentSubjectChar"/>
    <w:rsid w:val="00F17F2E"/>
    <w:rPr>
      <w:b/>
      <w:bCs/>
    </w:rPr>
  </w:style>
  <w:style w:type="character" w:customStyle="1" w:styleId="CommentSubjectChar">
    <w:name w:val="Comment Subject Char"/>
    <w:basedOn w:val="CommentTextChar"/>
    <w:link w:val="CommentSubject"/>
    <w:rsid w:val="00F17F2E"/>
    <w:rPr>
      <w:b/>
      <w:bCs/>
    </w:rPr>
  </w:style>
  <w:style w:type="table" w:styleId="TableGrid">
    <w:name w:val="Table Grid"/>
    <w:basedOn w:val="TableNormal"/>
    <w:uiPriority w:val="39"/>
    <w:rsid w:val="004D22BA"/>
    <w:rPr>
      <w:rFonts w:asciiTheme="minorHAnsi" w:eastAsiaTheme="minorHAnsi" w:hAnsiTheme="minorHAnsi" w:cstheme="minorBidi"/>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microsoft.com/office/2019/05/relationships/documenttasks" Target="documenttasks/documenttasks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documenttasks/documenttasks1.xml><?xml version="1.0" encoding="utf-8"?>
<t:Tasks xmlns:t="http://schemas.microsoft.com/office/tasks/2019/documenttasks" xmlns:oel="http://schemas.microsoft.com/office/2019/extlst">
  <t:Task id="{4F6508D0-5E78-4A8C-A6EB-F1A1C7304FE0}">
    <t:Anchor>
      <t:Comment id="1929663358"/>
    </t:Anchor>
    <t:History>
      <t:Event id="{224D7ACC-84F0-4DC9-B7DD-951D1E196C9A}" time="2025-03-24T18:37:57.462Z">
        <t:Attribution userId="S::lauren.cooper@utsouthwestern.edu::d28691a0-e206-452d-9057-b4e5f1e86e6f" userProvider="AD" userName="Lauren Cooper"/>
        <t:Anchor>
          <t:Comment id="859275808"/>
        </t:Anchor>
        <t:Create/>
      </t:Event>
      <t:Event id="{773DAC1A-4378-4FFE-9B19-3B48DFD50139}" time="2025-03-24T18:37:57.462Z">
        <t:Attribution userId="S::lauren.cooper@utsouthwestern.edu::d28691a0-e206-452d-9057-b4e5f1e86e6f" userProvider="AD" userName="Lauren Cooper"/>
        <t:Anchor>
          <t:Comment id="859275808"/>
        </t:Anchor>
        <t:Assign userId="S::Mereeja.Varghese@UTSouthwestern.edu::cc3c6cf3-f4e2-48c0-8ef0-ffad23920910" userProvider="AD" userName="Mereeja Varghese"/>
      </t:Event>
      <t:Event id="{5B9904E5-626B-4BD1-AD66-BED6E10171CC}" time="2025-03-24T18:37:57.462Z">
        <t:Attribution userId="S::lauren.cooper@utsouthwestern.edu::d28691a0-e206-452d-9057-b4e5f1e86e6f" userProvider="AD" userName="Lauren Cooper"/>
        <t:Anchor>
          <t:Comment id="859275808"/>
        </t:Anchor>
        <t:SetTitle title="@Mereeja Varghese What do you think?"/>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33cfb5a-9c9b-4ae8-8172-021645cd6bf8" xsi:nil="true"/>
    <Notes xmlns="a78d6b95-4797-4006-a6cb-f19586aac23f" xsi:nil="true"/>
    <_Flow_SignoffStatus xmlns="a78d6b95-4797-4006-a6cb-f19586aac23f" xsi:nil="true"/>
    <Thumbnail xmlns="a78d6b95-4797-4006-a6cb-f19586aac23f" xsi:nil="true"/>
    <lcf76f155ced4ddcb4097134ff3c332f xmlns="a78d6b95-4797-4006-a6cb-f19586aac23f">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7451094D3CBF04DA525ECC89307A659" ma:contentTypeVersion="21" ma:contentTypeDescription="Create a new document." ma:contentTypeScope="" ma:versionID="58540baa9305c003693227a60fec3cf3">
  <xsd:schema xmlns:xsd="http://www.w3.org/2001/XMLSchema" xmlns:xs="http://www.w3.org/2001/XMLSchema" xmlns:p="http://schemas.microsoft.com/office/2006/metadata/properties" xmlns:ns2="a78d6b95-4797-4006-a6cb-f19586aac23f" xmlns:ns3="d33cfb5a-9c9b-4ae8-8172-021645cd6bf8" targetNamespace="http://schemas.microsoft.com/office/2006/metadata/properties" ma:root="true" ma:fieldsID="3328a28ee5c0bc9ea6c19449779984fc" ns2:_="" ns3:_="">
    <xsd:import namespace="a78d6b95-4797-4006-a6cb-f19586aac23f"/>
    <xsd:import namespace="d33cfb5a-9c9b-4ae8-8172-021645cd6bf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Note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Thumbnail" minOccurs="0"/>
                <xsd:element ref="ns2:lcf76f155ced4ddcb4097134ff3c332f" minOccurs="0"/>
                <xsd:element ref="ns3:TaxCatchAll" minOccurs="0"/>
                <xsd:element ref="ns2:_Flow_SignoffStatus" minOccurs="0"/>
                <xsd:element ref="ns2:MediaServiceObjectDetectorVersions" minOccurs="0"/>
                <xsd:element ref="ns2:MediaServiceSearchProperties" minOccurs="0"/>
                <xsd:element ref="ns2:MediaServiceBillingMetadata"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8d6b95-4797-4006-a6cb-f19586aac23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Notes" ma:index="14" nillable="true" ma:displayName="Notes" ma:format="Dropdown" ma:internalName="Notes">
      <xsd:simpleType>
        <xsd:restriction base="dms:Text">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Thumbnail" ma:index="20" nillable="true" ma:displayName="Thumbnail" ma:format="Thumbnail" ma:internalName="Thumbnail">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5c6beda-2b55-4c3a-b30f-a557728065fb" ma:termSetId="09814cd3-568e-fe90-9814-8d621ff8fb84" ma:anchorId="fba54fb3-c3e1-fe81-a776-ca4b69148c4d" ma:open="true" ma:isKeyword="false">
      <xsd:complexType>
        <xsd:sequence>
          <xsd:element ref="pc:Terms" minOccurs="0" maxOccurs="1"/>
        </xsd:sequence>
      </xsd:complexType>
    </xsd:element>
    <xsd:element name="_Flow_SignoffStatus" ma:index="24" nillable="true" ma:displayName="Sign-off status" ma:internalName="Sign_x002d_off_x0020_status">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element name="MediaLengthInSeconds" ma:index="2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33cfb5a-9c9b-4ae8-8172-021645cd6bf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dd671ac-1cc1-4958-88dc-48db9a92acad}" ma:internalName="TaxCatchAll" ma:showField="CatchAllData" ma:web="d33cfb5a-9c9b-4ae8-8172-021645cd6bf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A734F1B-FBDC-44AF-A78B-025CD4EFC455}">
  <ds:schemaRefs>
    <ds:schemaRef ds:uri="http://schemas.microsoft.com/sharepoint/v3/contenttype/forms"/>
  </ds:schemaRefs>
</ds:datastoreItem>
</file>

<file path=customXml/itemProps2.xml><?xml version="1.0" encoding="utf-8"?>
<ds:datastoreItem xmlns:ds="http://schemas.openxmlformats.org/officeDocument/2006/customXml" ds:itemID="{0192ECFB-858A-4917-BEF3-4E04E0596C24}">
  <ds:schemaRefs>
    <ds:schemaRef ds:uri="http://schemas.microsoft.com/office/2006/metadata/properties"/>
    <ds:schemaRef ds:uri="http://schemas.microsoft.com/office/infopath/2007/PartnerControls"/>
    <ds:schemaRef ds:uri="d33cfb5a-9c9b-4ae8-8172-021645cd6bf8"/>
    <ds:schemaRef ds:uri="a78d6b95-4797-4006-a6cb-f19586aac23f"/>
  </ds:schemaRefs>
</ds:datastoreItem>
</file>

<file path=customXml/itemProps3.xml><?xml version="1.0" encoding="utf-8"?>
<ds:datastoreItem xmlns:ds="http://schemas.openxmlformats.org/officeDocument/2006/customXml" ds:itemID="{5FC5A610-73BB-4230-A655-941CE85C37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8d6b95-4797-4006-a6cb-f19586aac23f"/>
    <ds:schemaRef ds:uri="d33cfb5a-9c9b-4ae8-8172-021645cd6bf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2540</Words>
  <Characters>14479</Characters>
  <Application>Microsoft Office Word</Application>
  <DocSecurity>0</DocSecurity>
  <Lines>120</Lines>
  <Paragraphs>33</Paragraphs>
  <ScaleCrop>false</ScaleCrop>
  <Company/>
  <LinksUpToDate>false</LinksUpToDate>
  <CharactersWithSpaces>16986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Aamirah Vadsariya</dc:creator>
  <cp:keywords/>
  <cp:lastModifiedBy>Aamirah Vadsariya</cp:lastModifiedBy>
  <cp:revision>2</cp:revision>
  <dcterms:created xsi:type="dcterms:W3CDTF">2025-09-18T21:08:00Z</dcterms:created>
  <dcterms:modified xsi:type="dcterms:W3CDTF">2025-09-18T21:08:00Z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0x01010067451094D3CBF04DA525ECC89307A659</vt:lpwstr>
  </property>
  <property fmtid="{D5CDD505-2E9C-101B-9397-08002B2CF9AE}" pid="3" name="MediaServiceImageTags">
    <vt:lpwstr/>
  </property>
</Properties>
</file>