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ackground w:color="FFFFFF"/>
  <w:body>
    <w:p w:rsidR="003260A5" w:rsidRDefault="00E93E48" w14:paraId="5393541D" w14:textId="2F93865B">
      <w:pPr>
        <w:pBdr>
          <w:top w:val="nil"/>
          <w:left w:val="nil"/>
          <w:bottom w:val="nil"/>
          <w:right w:val="nil"/>
          <w:between w:val="nil"/>
        </w:pBdr>
        <w:spacing w:after="280"/>
        <w:jc w:val="center"/>
        <w:rPr>
          <w:rFonts w:ascii="Calibri" w:hAnsi="Calibri" w:eastAsia="Calibri" w:cs="Calibri"/>
          <w:b/>
          <w:sz w:val="22"/>
          <w:szCs w:val="22"/>
          <w:vertAlign w:val="superscript"/>
        </w:rPr>
      </w:pPr>
      <w:r w:rsidRPr="00E93E48">
        <w:rPr>
          <w:rFonts w:ascii="Calibri" w:hAnsi="Calibri" w:eastAsia="Calibri" w:cs="Calibri"/>
          <w:b/>
          <w:color w:val="000000"/>
          <w:sz w:val="28"/>
          <w:szCs w:val="28"/>
        </w:rPr>
        <w:t>Preserving the DNA of Clinical Intent: Integrating IMO Health API services into OHDSI Extract-Transform-Load Process</w:t>
      </w:r>
    </w:p>
    <w:p w:rsidRPr="00E93E48" w:rsidR="00E93E48" w:rsidP="00E93E48" w:rsidRDefault="00E93E48" w14:paraId="669D42F0" w14:textId="4C319F79">
      <w:pPr>
        <w:pStyle w:val="Heading1"/>
        <w:rPr>
          <w:rFonts w:ascii="Calibri" w:hAnsi="Calibri" w:eastAsia="Calibri" w:cs="Calibri"/>
          <w:sz w:val="22"/>
          <w:szCs w:val="22"/>
        </w:rPr>
      </w:pPr>
      <w:r w:rsidRPr="5EDB94E7" w:rsidR="00E93E48">
        <w:rPr>
          <w:rFonts w:ascii="Calibri" w:hAnsi="Calibri" w:eastAsia="Calibri" w:cs="Calibri"/>
          <w:sz w:val="22"/>
          <w:szCs w:val="22"/>
        </w:rPr>
        <w:t xml:space="preserve">Evan </w:t>
      </w:r>
      <w:r w:rsidRPr="5EDB94E7" w:rsidR="00E93E48">
        <w:rPr>
          <w:rFonts w:ascii="Calibri" w:hAnsi="Calibri" w:eastAsia="Calibri" w:cs="Calibri"/>
          <w:sz w:val="22"/>
          <w:szCs w:val="22"/>
        </w:rPr>
        <w:t>Sholle</w:t>
      </w:r>
      <w:r w:rsidRPr="5EDB94E7" w:rsidR="00E93E48">
        <w:rPr>
          <w:rFonts w:ascii="Calibri" w:hAnsi="Calibri" w:eastAsia="Calibri" w:cs="Calibri"/>
          <w:sz w:val="22"/>
          <w:szCs w:val="22"/>
        </w:rPr>
        <w:t>, MS</w:t>
      </w:r>
      <w:r w:rsidRPr="5EDB94E7" w:rsidR="00E93E48">
        <w:rPr>
          <w:rFonts w:ascii="Calibri" w:hAnsi="Calibri" w:eastAsia="Calibri" w:cs="Calibri"/>
          <w:sz w:val="22"/>
          <w:szCs w:val="22"/>
          <w:vertAlign w:val="superscript"/>
        </w:rPr>
        <w:t>1</w:t>
      </w:r>
      <w:r w:rsidRPr="5EDB94E7" w:rsidR="00E93E48">
        <w:rPr>
          <w:rFonts w:ascii="Calibri" w:hAnsi="Calibri" w:eastAsia="Calibri" w:cs="Calibri"/>
          <w:sz w:val="22"/>
          <w:szCs w:val="22"/>
        </w:rPr>
        <w:t>, David Haines, MBA</w:t>
      </w:r>
      <w:r w:rsidRPr="5EDB94E7" w:rsidR="00E93E48">
        <w:rPr>
          <w:rFonts w:ascii="Calibri" w:hAnsi="Calibri" w:eastAsia="Calibri" w:cs="Calibri"/>
          <w:sz w:val="22"/>
          <w:szCs w:val="22"/>
          <w:vertAlign w:val="superscript"/>
        </w:rPr>
        <w:t>2</w:t>
      </w:r>
      <w:r w:rsidRPr="5EDB94E7" w:rsidR="00E93E48">
        <w:rPr>
          <w:rFonts w:ascii="Calibri" w:hAnsi="Calibri" w:eastAsia="Calibri" w:cs="Calibri"/>
          <w:sz w:val="22"/>
          <w:szCs w:val="22"/>
        </w:rPr>
        <w:t>, Chandan Ravishankar, BS</w:t>
      </w:r>
      <w:r w:rsidRPr="5EDB94E7" w:rsidR="00E93E48">
        <w:rPr>
          <w:rFonts w:ascii="Calibri" w:hAnsi="Calibri" w:eastAsia="Calibri" w:cs="Calibri"/>
          <w:sz w:val="22"/>
          <w:szCs w:val="22"/>
          <w:vertAlign w:val="superscript"/>
        </w:rPr>
        <w:t>2</w:t>
      </w:r>
      <w:r w:rsidRPr="5EDB94E7" w:rsidR="00E93E48">
        <w:rPr>
          <w:rFonts w:ascii="Calibri" w:hAnsi="Calibri" w:eastAsia="Calibri" w:cs="Calibri"/>
          <w:sz w:val="22"/>
          <w:szCs w:val="22"/>
        </w:rPr>
        <w:t xml:space="preserve">, Tejaswini Viswanath, </w:t>
      </w:r>
      <w:r w:rsidRPr="5EDB94E7" w:rsidR="30B21A5A">
        <w:rPr>
          <w:rFonts w:ascii="Calibri" w:hAnsi="Calibri" w:eastAsia="Calibri" w:cs="Calibri"/>
          <w:sz w:val="22"/>
          <w:szCs w:val="22"/>
        </w:rPr>
        <w:t>MS</w:t>
      </w:r>
      <w:r w:rsidRPr="5EDB94E7" w:rsidR="30B21A5A">
        <w:rPr>
          <w:rFonts w:ascii="Calibri" w:hAnsi="Calibri" w:eastAsia="Calibri" w:cs="Calibri"/>
          <w:sz w:val="22"/>
          <w:szCs w:val="22"/>
          <w:vertAlign w:val="superscript"/>
        </w:rPr>
        <w:t>1</w:t>
      </w:r>
      <w:r w:rsidRPr="5EDB94E7" w:rsidR="00E93E48">
        <w:rPr>
          <w:rFonts w:ascii="Calibri" w:hAnsi="Calibri" w:eastAsia="Calibri" w:cs="Calibri"/>
          <w:sz w:val="22"/>
          <w:szCs w:val="22"/>
        </w:rPr>
        <w:t xml:space="preserve">, Merlin Simoes, </w:t>
      </w:r>
      <w:r w:rsidRPr="5EDB94E7" w:rsidR="3B6D0788">
        <w:rPr>
          <w:rFonts w:ascii="Calibri" w:hAnsi="Calibri" w:eastAsia="Calibri" w:cs="Calibri"/>
          <w:sz w:val="22"/>
          <w:szCs w:val="22"/>
        </w:rPr>
        <w:t>MS</w:t>
      </w:r>
      <w:r w:rsidRPr="5EDB94E7" w:rsidR="3B6D0788">
        <w:rPr>
          <w:rFonts w:ascii="Calibri" w:hAnsi="Calibri" w:eastAsia="Calibri" w:cs="Calibri"/>
          <w:sz w:val="22"/>
          <w:szCs w:val="22"/>
          <w:vertAlign w:val="superscript"/>
        </w:rPr>
        <w:t>1</w:t>
      </w:r>
      <w:r w:rsidRPr="5EDB94E7" w:rsidR="3B6D0788">
        <w:rPr>
          <w:rFonts w:ascii="Calibri" w:hAnsi="Calibri" w:eastAsia="Calibri" w:cs="Calibri"/>
          <w:sz w:val="22"/>
          <w:szCs w:val="22"/>
        </w:rPr>
        <w:t xml:space="preserve">, </w:t>
      </w:r>
      <w:r w:rsidRPr="5EDB94E7" w:rsidR="00E93E48">
        <w:rPr>
          <w:rFonts w:ascii="Calibri" w:hAnsi="Calibri" w:eastAsia="Calibri" w:cs="Calibri"/>
          <w:sz w:val="22"/>
          <w:szCs w:val="22"/>
        </w:rPr>
        <w:t>Daniel Timke, MS</w:t>
      </w:r>
      <w:r w:rsidRPr="5EDB94E7" w:rsidR="00E93E48">
        <w:rPr>
          <w:rFonts w:ascii="Calibri" w:hAnsi="Calibri" w:eastAsia="Calibri" w:cs="Calibri"/>
          <w:sz w:val="22"/>
          <w:szCs w:val="22"/>
          <w:vertAlign w:val="superscript"/>
        </w:rPr>
        <w:t>2</w:t>
      </w:r>
      <w:r w:rsidRPr="5EDB94E7" w:rsidR="00E93E48">
        <w:rPr>
          <w:rFonts w:ascii="Calibri" w:hAnsi="Calibri" w:eastAsia="Calibri" w:cs="Calibri"/>
          <w:sz w:val="22"/>
          <w:szCs w:val="22"/>
        </w:rPr>
        <w:t>, Sajjad Abedian, MS</w:t>
      </w:r>
      <w:r w:rsidRPr="5EDB94E7" w:rsidR="00E93E48">
        <w:rPr>
          <w:rFonts w:ascii="Calibri" w:hAnsi="Calibri" w:eastAsia="Calibri" w:cs="Calibri"/>
          <w:sz w:val="22"/>
          <w:szCs w:val="22"/>
          <w:vertAlign w:val="superscript"/>
        </w:rPr>
        <w:t>1</w:t>
      </w:r>
      <w:r w:rsidRPr="5EDB94E7" w:rsidR="00E93E48">
        <w:rPr>
          <w:rFonts w:ascii="Calibri" w:hAnsi="Calibri" w:eastAsia="Calibri" w:cs="Calibri"/>
          <w:sz w:val="22"/>
          <w:szCs w:val="22"/>
        </w:rPr>
        <w:t>, Frank Naeymi-Rad, PhD</w:t>
      </w:r>
      <w:r w:rsidRPr="5EDB94E7" w:rsidR="00E93E48">
        <w:rPr>
          <w:rFonts w:ascii="Calibri" w:hAnsi="Calibri" w:eastAsia="Calibri" w:cs="Calibri"/>
          <w:sz w:val="22"/>
          <w:szCs w:val="22"/>
          <w:vertAlign w:val="superscript"/>
        </w:rPr>
        <w:t>2</w:t>
      </w:r>
    </w:p>
    <w:p w:rsidR="003260A5" w:rsidP="00E93E48" w:rsidRDefault="00E93E48" w14:paraId="1F64915F" w14:textId="3A1DD0B9">
      <w:pPr>
        <w:pBdr>
          <w:top w:val="nil"/>
          <w:left w:val="nil"/>
          <w:bottom w:val="nil"/>
          <w:right w:val="nil"/>
          <w:between w:val="nil"/>
        </w:pBdr>
        <w:jc w:val="center"/>
        <w:rPr>
          <w:rFonts w:ascii="Calibri" w:hAnsi="Calibri" w:eastAsia="Calibri" w:cs="Calibri"/>
          <w:b/>
          <w:sz w:val="22"/>
          <w:szCs w:val="22"/>
        </w:rPr>
        <w:sectPr w:rsidR="003260A5">
          <w:footerReference w:type="default" r:id="rId7"/>
          <w:pgSz w:w="12240" w:h="15840" w:orient="portrait"/>
          <w:pgMar w:top="1440" w:right="1440" w:bottom="1440" w:left="1440" w:header="0" w:footer="720" w:gutter="0"/>
          <w:pgNumType w:start="1"/>
          <w:cols w:space="720"/>
        </w:sectPr>
      </w:pPr>
      <w:r w:rsidRPr="00E93E48">
        <w:rPr>
          <w:rFonts w:ascii="Calibri" w:hAnsi="Calibri" w:eastAsia="Calibri" w:cs="Calibri"/>
          <w:b/>
          <w:sz w:val="22"/>
          <w:szCs w:val="22"/>
          <w:vertAlign w:val="superscript"/>
        </w:rPr>
        <w:t>1</w:t>
      </w:r>
      <w:r w:rsidRPr="00E93E48">
        <w:rPr>
          <w:rFonts w:ascii="Calibri" w:hAnsi="Calibri" w:eastAsia="Calibri" w:cs="Calibri"/>
          <w:b/>
          <w:sz w:val="22"/>
          <w:szCs w:val="22"/>
        </w:rPr>
        <w:t xml:space="preserve">Department of Population Health Sciences, Weill Cornell Medicine, New York, NY; </w:t>
      </w:r>
      <w:r w:rsidRPr="00E93E48">
        <w:rPr>
          <w:rFonts w:ascii="Calibri" w:hAnsi="Calibri" w:eastAsia="Calibri" w:cs="Calibri"/>
          <w:b/>
          <w:sz w:val="22"/>
          <w:szCs w:val="22"/>
          <w:vertAlign w:val="superscript"/>
        </w:rPr>
        <w:t>2</w:t>
      </w:r>
      <w:r w:rsidRPr="00E93E48">
        <w:rPr>
          <w:rFonts w:ascii="Calibri" w:hAnsi="Calibri" w:eastAsia="Calibri" w:cs="Calibri"/>
          <w:b/>
          <w:sz w:val="22"/>
          <w:szCs w:val="22"/>
        </w:rPr>
        <w:t xml:space="preserve">Leap of Faith, LLC, Libertyville, IL; </w:t>
      </w:r>
      <w:r w:rsidRPr="00E93E48">
        <w:rPr>
          <w:rFonts w:ascii="Calibri" w:hAnsi="Calibri" w:eastAsia="Calibri" w:cs="Calibri"/>
          <w:b/>
          <w:sz w:val="22"/>
          <w:szCs w:val="22"/>
          <w:vertAlign w:val="superscript"/>
        </w:rPr>
        <w:t>3</w:t>
      </w:r>
      <w:r w:rsidRPr="00E93E48">
        <w:rPr>
          <w:rFonts w:ascii="Calibri" w:hAnsi="Calibri" w:eastAsia="Calibri" w:cs="Calibri"/>
          <w:b/>
          <w:sz w:val="22"/>
          <w:szCs w:val="22"/>
        </w:rPr>
        <w:t>Illinois Institute of Technology, Chicago, IL</w:t>
      </w:r>
    </w:p>
    <w:p w:rsidR="003260A5" w:rsidRDefault="00B7418D" w14:paraId="7029BC28" w14:textId="77777777">
      <w:pPr>
        <w:keepNext/>
        <w:pBdr>
          <w:top w:val="nil"/>
          <w:left w:val="nil"/>
          <w:bottom w:val="nil"/>
          <w:right w:val="nil"/>
          <w:between w:val="nil"/>
        </w:pBdr>
        <w:spacing w:before="120" w:after="120"/>
        <w:jc w:val="both"/>
        <w:rPr>
          <w:rFonts w:ascii="Calibri" w:hAnsi="Calibri" w:eastAsia="Calibri" w:cs="Calibri"/>
          <w:b/>
          <w:color w:val="000000"/>
          <w:sz w:val="22"/>
          <w:szCs w:val="22"/>
        </w:rPr>
      </w:pPr>
      <w:r>
        <w:rPr>
          <w:rFonts w:ascii="Calibri" w:hAnsi="Calibri" w:eastAsia="Calibri" w:cs="Calibri"/>
          <w:b/>
          <w:sz w:val="22"/>
          <w:szCs w:val="22"/>
        </w:rPr>
        <w:t>Background</w:t>
      </w:r>
    </w:p>
    <w:p w:rsidRPr="00E93E48" w:rsidR="00E93E48" w:rsidP="5EDB94E7" w:rsidRDefault="00E93E48" w14:paraId="25645689" w14:textId="63CB41B2">
      <w:pPr>
        <w:pBdr>
          <w:top w:val="nil" w:color="000000" w:sz="0" w:space="0"/>
          <w:left w:val="nil" w:color="000000" w:sz="0" w:space="0"/>
          <w:bottom w:val="nil" w:color="000000" w:sz="0" w:space="0"/>
          <w:right w:val="nil" w:color="000000" w:sz="0" w:space="0"/>
          <w:between w:val="nil" w:color="000000" w:sz="0" w:space="0"/>
        </w:pBdr>
        <w:spacing w:after="120"/>
        <w:jc w:val="both"/>
        <w:rPr>
          <w:rFonts w:ascii="Calibri" w:hAnsi="Calibri" w:eastAsia="Calibri" w:cs="Calibri"/>
          <w:color w:val="000000"/>
          <w:sz w:val="22"/>
          <w:szCs w:val="22"/>
        </w:rPr>
      </w:pPr>
      <w:r w:rsidRPr="5EDB94E7" w:rsidR="00E93E48">
        <w:rPr>
          <w:rFonts w:ascii="Calibri" w:hAnsi="Calibri" w:eastAsia="Calibri" w:cs="Calibri"/>
          <w:color w:val="000000" w:themeColor="text1" w:themeTint="FF" w:themeShade="FF"/>
          <w:sz w:val="22"/>
          <w:szCs w:val="22"/>
        </w:rPr>
        <w:t xml:space="preserve">Large-scale observational research holds the potential to unlock significant insight on human health and behavior. Studies that </w:t>
      </w:r>
      <w:r w:rsidRPr="5EDB94E7" w:rsidR="00E93E48">
        <w:rPr>
          <w:rFonts w:ascii="Calibri" w:hAnsi="Calibri" w:eastAsia="Calibri" w:cs="Calibri"/>
          <w:color w:val="000000" w:themeColor="text1" w:themeTint="FF" w:themeShade="FF"/>
          <w:sz w:val="22"/>
          <w:szCs w:val="22"/>
        </w:rPr>
        <w:t>leverage</w:t>
      </w:r>
      <w:r w:rsidRPr="5EDB94E7" w:rsidR="00E93E48">
        <w:rPr>
          <w:rFonts w:ascii="Calibri" w:hAnsi="Calibri" w:eastAsia="Calibri" w:cs="Calibri"/>
          <w:color w:val="000000" w:themeColor="text1" w:themeTint="FF" w:themeShade="FF"/>
          <w:sz w:val="22"/>
          <w:szCs w:val="22"/>
        </w:rPr>
        <w:t xml:space="preserve"> real-world data are particularly valuable, as they afford the opportunity to assess population-level biomedical phenomena that may not be measurable using traditional clinical trials or interventional studies. However, data quality </w:t>
      </w:r>
      <w:r w:rsidRPr="5EDB94E7" w:rsidR="00E93E48">
        <w:rPr>
          <w:rFonts w:ascii="Calibri" w:hAnsi="Calibri" w:eastAsia="Calibri" w:cs="Calibri"/>
          <w:color w:val="000000" w:themeColor="text1" w:themeTint="FF" w:themeShade="FF"/>
          <w:sz w:val="22"/>
          <w:szCs w:val="22"/>
        </w:rPr>
        <w:t>remains</w:t>
      </w:r>
      <w:r w:rsidRPr="5EDB94E7" w:rsidR="00E93E48">
        <w:rPr>
          <w:rFonts w:ascii="Calibri" w:hAnsi="Calibri" w:eastAsia="Calibri" w:cs="Calibri"/>
          <w:color w:val="000000" w:themeColor="text1" w:themeTint="FF" w:themeShade="FF"/>
          <w:sz w:val="22"/>
          <w:szCs w:val="22"/>
        </w:rPr>
        <w:t xml:space="preserve"> a pressing issue that </w:t>
      </w:r>
      <w:r w:rsidRPr="5EDB94E7" w:rsidR="00E93E48">
        <w:rPr>
          <w:rFonts w:ascii="Calibri" w:hAnsi="Calibri" w:eastAsia="Calibri" w:cs="Calibri"/>
          <w:color w:val="000000" w:themeColor="text1" w:themeTint="FF" w:themeShade="FF"/>
          <w:sz w:val="22"/>
          <w:szCs w:val="22"/>
        </w:rPr>
        <w:t>impacts</w:t>
      </w:r>
      <w:r w:rsidRPr="5EDB94E7" w:rsidR="00E93E48">
        <w:rPr>
          <w:rFonts w:ascii="Calibri" w:hAnsi="Calibri" w:eastAsia="Calibri" w:cs="Calibri"/>
          <w:color w:val="000000" w:themeColor="text1" w:themeTint="FF" w:themeShade="FF"/>
          <w:sz w:val="22"/>
          <w:szCs w:val="22"/>
        </w:rPr>
        <w:t xml:space="preserve"> the utility of these tools</w:t>
      </w:r>
      <w:r w:rsidRPr="5EDB94E7" w:rsidR="00E93E48">
        <w:rPr>
          <w:rFonts w:ascii="Calibri" w:hAnsi="Calibri" w:eastAsia="Calibri" w:cs="Calibri"/>
          <w:color w:val="000000" w:themeColor="text1" w:themeTint="FF" w:themeShade="FF"/>
          <w:sz w:val="22"/>
          <w:szCs w:val="22"/>
          <w:vertAlign w:val="superscript"/>
        </w:rPr>
        <w:t>1</w:t>
      </w:r>
      <w:r w:rsidRPr="5EDB94E7" w:rsidR="00E93E48">
        <w:rPr>
          <w:rFonts w:ascii="Calibri" w:hAnsi="Calibri" w:eastAsia="Calibri" w:cs="Calibri"/>
          <w:color w:val="000000" w:themeColor="text1" w:themeTint="FF" w:themeShade="FF"/>
          <w:sz w:val="22"/>
          <w:szCs w:val="22"/>
        </w:rPr>
        <w:t xml:space="preserve">. The Observational Health Data Science and Informatics consortium (OHDSI) has developed a </w:t>
      </w:r>
      <w:r w:rsidRPr="5EDB94E7" w:rsidR="4A66EEBA">
        <w:rPr>
          <w:rFonts w:ascii="Calibri" w:hAnsi="Calibri" w:eastAsia="Calibri" w:cs="Calibri"/>
          <w:color w:val="000000" w:themeColor="text1" w:themeTint="FF" w:themeShade="FF"/>
          <w:sz w:val="22"/>
          <w:szCs w:val="22"/>
        </w:rPr>
        <w:t>widely accepted</w:t>
      </w:r>
      <w:r w:rsidRPr="5EDB94E7" w:rsidR="00E93E48">
        <w:rPr>
          <w:rFonts w:ascii="Calibri" w:hAnsi="Calibri" w:eastAsia="Calibri" w:cs="Calibri"/>
          <w:color w:val="000000" w:themeColor="text1" w:themeTint="FF" w:themeShade="FF"/>
          <w:sz w:val="22"/>
          <w:szCs w:val="22"/>
        </w:rPr>
        <w:t xml:space="preserve"> common data model (CDM) that is routinely used to </w:t>
      </w:r>
      <w:r w:rsidRPr="5EDB94E7" w:rsidR="00E93E48">
        <w:rPr>
          <w:rFonts w:ascii="Calibri" w:hAnsi="Calibri" w:eastAsia="Calibri" w:cs="Calibri"/>
          <w:color w:val="000000" w:themeColor="text1" w:themeTint="FF" w:themeShade="FF"/>
          <w:sz w:val="22"/>
          <w:szCs w:val="22"/>
        </w:rPr>
        <w:t>represent</w:t>
      </w:r>
      <w:r w:rsidRPr="5EDB94E7" w:rsidR="00E93E48">
        <w:rPr>
          <w:rFonts w:ascii="Calibri" w:hAnsi="Calibri" w:eastAsia="Calibri" w:cs="Calibri"/>
          <w:color w:val="000000" w:themeColor="text1" w:themeTint="FF" w:themeShade="FF"/>
          <w:sz w:val="22"/>
          <w:szCs w:val="22"/>
        </w:rPr>
        <w:t xml:space="preserve"> large observational data from both electronic health records (EHR) and claims data sets.</w:t>
      </w:r>
    </w:p>
    <w:p w:rsidRPr="00E93E48" w:rsidR="00E93E48" w:rsidP="00E93E48" w:rsidRDefault="00E93E48" w14:paraId="15589472" w14:textId="77777777">
      <w:pPr>
        <w:pBdr>
          <w:top w:val="nil"/>
          <w:left w:val="nil"/>
          <w:bottom w:val="nil"/>
          <w:right w:val="nil"/>
          <w:between w:val="nil"/>
        </w:pBdr>
        <w:spacing w:after="120"/>
        <w:jc w:val="both"/>
        <w:rPr>
          <w:rFonts w:ascii="Calibri" w:hAnsi="Calibri" w:eastAsia="Calibri" w:cs="Calibri"/>
          <w:color w:val="000000"/>
          <w:sz w:val="22"/>
          <w:szCs w:val="22"/>
        </w:rPr>
      </w:pPr>
      <w:r w:rsidRPr="00E93E48">
        <w:rPr>
          <w:rFonts w:ascii="Calibri" w:hAnsi="Calibri" w:eastAsia="Calibri" w:cs="Calibri"/>
          <w:color w:val="000000"/>
          <w:sz w:val="22"/>
          <w:szCs w:val="22"/>
        </w:rPr>
        <w:t>To model data in this format, the consortium, as well as individual members, have developed a series of mapping scripts that execute the extract-transform-load (ETL) process required to populate the CDM. As part of these mapping scripts, the consortium maintains a vocabulary service</w:t>
      </w:r>
      <w:r w:rsidRPr="00E93E48">
        <w:rPr>
          <w:rFonts w:ascii="Calibri" w:hAnsi="Calibri" w:eastAsia="Calibri" w:cs="Calibri"/>
          <w:color w:val="000000"/>
          <w:sz w:val="22"/>
          <w:szCs w:val="22"/>
          <w:vertAlign w:val="superscript"/>
        </w:rPr>
        <w:t>2</w:t>
      </w:r>
      <w:r w:rsidRPr="00E93E48">
        <w:rPr>
          <w:rFonts w:ascii="Calibri" w:hAnsi="Calibri" w:eastAsia="Calibri" w:cs="Calibri"/>
          <w:color w:val="000000"/>
          <w:sz w:val="22"/>
          <w:szCs w:val="22"/>
        </w:rPr>
        <w:t xml:space="preserve"> that crosswalks terminology items from source systems. The CDM requires SNOMED-CT® codes as its “standard” concept – however, physicians use interface terminology items within the EHR to select diagnoses. </w:t>
      </w:r>
    </w:p>
    <w:p w:rsidR="00E93E48" w:rsidP="00E93E48" w:rsidRDefault="00E93E48" w14:paraId="6FC38B6F" w14:textId="77777777">
      <w:pPr>
        <w:pBdr>
          <w:top w:val="nil"/>
          <w:left w:val="nil"/>
          <w:bottom w:val="nil"/>
          <w:right w:val="nil"/>
          <w:between w:val="nil"/>
        </w:pBdr>
        <w:spacing w:after="120"/>
        <w:jc w:val="both"/>
        <w:rPr>
          <w:rFonts w:ascii="Calibri" w:hAnsi="Calibri" w:eastAsia="Calibri" w:cs="Calibri"/>
          <w:color w:val="000000"/>
          <w:sz w:val="22"/>
          <w:szCs w:val="22"/>
        </w:rPr>
      </w:pPr>
      <w:r w:rsidRPr="00E93E48">
        <w:rPr>
          <w:rFonts w:ascii="Calibri" w:hAnsi="Calibri" w:eastAsia="Calibri" w:cs="Calibri"/>
          <w:color w:val="000000"/>
          <w:sz w:val="22"/>
          <w:szCs w:val="22"/>
        </w:rPr>
        <w:t xml:space="preserve">Accordingly, loading data into the CDM requires sites to map local interface terminology items to SNOMED-CT® codes. At our healthcare system and at many others, our approach for mapping EHR data into the CDM leverages the existing ICD-10-CM mapping present within our EHR, mapping these ICD-10-CM codes directly to SNOMED-CT® using the OHDSI-provided mapping. As others have demonstrated3, this technique leads to a loss of granularity and laterality. We hypothesized that by incorporating terminology services from Intelligent Medical Objects, Inc. (the vendor that maintains our reference terminology) into the ETL process we could generate a resultant instance of the CDM that was more faithful to the original clinical intent. To test this hypothesis, we ran two abbreviated versions of the ETL: one that used the existing “legacy” approach and one that leveraged IMO terminology services. We then compared the performance of the two techniques by identifying the ICD-10 codes to which new mapping pathways were created and calculating the number of additional patients within local EHR data retrieved using each technique.  </w:t>
      </w:r>
    </w:p>
    <w:p w:rsidR="003260A5" w:rsidP="00E93E48" w:rsidRDefault="00B7418D" w14:paraId="6396AB2F" w14:textId="78A868A5">
      <w:pPr>
        <w:pBdr>
          <w:top w:val="nil"/>
          <w:left w:val="nil"/>
          <w:bottom w:val="nil"/>
          <w:right w:val="nil"/>
          <w:between w:val="nil"/>
        </w:pBdr>
        <w:spacing w:after="120"/>
        <w:jc w:val="both"/>
        <w:rPr>
          <w:rFonts w:ascii="Calibri" w:hAnsi="Calibri" w:eastAsia="Calibri" w:cs="Calibri"/>
          <w:sz w:val="22"/>
          <w:szCs w:val="22"/>
        </w:rPr>
      </w:pPr>
      <w:r>
        <w:rPr>
          <w:rFonts w:ascii="Calibri" w:hAnsi="Calibri" w:eastAsia="Calibri" w:cs="Calibri"/>
          <w:b/>
          <w:sz w:val="22"/>
          <w:szCs w:val="22"/>
        </w:rPr>
        <w:t>Methods</w:t>
      </w:r>
    </w:p>
    <w:p w:rsidRPr="00E93E48" w:rsidR="00E93E48" w:rsidP="00E93E48" w:rsidRDefault="00E93E48" w14:paraId="5B03FEFC" w14:textId="77777777">
      <w:pPr>
        <w:pBdr>
          <w:top w:val="nil"/>
          <w:left w:val="nil"/>
          <w:bottom w:val="nil"/>
          <w:right w:val="nil"/>
          <w:between w:val="nil"/>
        </w:pBdr>
        <w:spacing w:after="120"/>
        <w:jc w:val="both"/>
        <w:rPr>
          <w:rFonts w:ascii="Calibri" w:hAnsi="Calibri" w:eastAsia="Calibri" w:cs="Calibri"/>
          <w:sz w:val="22"/>
          <w:szCs w:val="22"/>
        </w:rPr>
      </w:pPr>
      <w:r w:rsidRPr="00E93E48">
        <w:rPr>
          <w:rFonts w:ascii="Calibri" w:hAnsi="Calibri" w:eastAsia="Calibri" w:cs="Calibri"/>
          <w:sz w:val="22"/>
          <w:szCs w:val="22"/>
        </w:rPr>
        <w:t xml:space="preserve">We began by extracting a data set comprising each unique diagnosis assigned to patients within Weill Cornell Medicine’s local EHR within the last five years (163,078 distinct interface terminology items). To obviate the need for IRB approval we then generated a synthetic/de-identified source data set by assuming that each diagnosis had been assigned to a unique patient at a unique encounter. </w:t>
      </w:r>
    </w:p>
    <w:p w:rsidRPr="00E93E48" w:rsidR="00E93E48" w:rsidP="00E93E48" w:rsidRDefault="00E93E48" w14:paraId="4359EBC7" w14:textId="77777777">
      <w:pPr>
        <w:pBdr>
          <w:top w:val="nil"/>
          <w:left w:val="nil"/>
          <w:bottom w:val="nil"/>
          <w:right w:val="nil"/>
          <w:between w:val="nil"/>
        </w:pBdr>
        <w:spacing w:after="120"/>
        <w:jc w:val="both"/>
        <w:rPr>
          <w:rFonts w:ascii="Calibri" w:hAnsi="Calibri" w:eastAsia="Calibri" w:cs="Calibri"/>
          <w:sz w:val="22"/>
          <w:szCs w:val="22"/>
        </w:rPr>
      </w:pPr>
      <w:r w:rsidRPr="00E93E48">
        <w:rPr>
          <w:rFonts w:ascii="Calibri" w:hAnsi="Calibri" w:eastAsia="Calibri" w:cs="Calibri"/>
          <w:sz w:val="22"/>
          <w:szCs w:val="22"/>
        </w:rPr>
        <w:t xml:space="preserve">We then developed two different ETL pipelines. The first ETL code (the “legacy” approach) maps the source data into OHDSI tables by identifying the local EHR-based ICD-10-CM mapping, then mapping these ICD-10-CM codes to SNOMED using OHDSI’s CONCEPT_RELATIONSHIP table. The second ETL code (the “best of both worlds” approach) maps the data by running each interface terminology item against IMO’s Precision Normalize™ API and analyzing the returned mappings. If the returned mappings contained more SNOMED codes than ICD-10-CM, we additionally queried the service to map each SNOMED code back to ICD-10-CM and inserted these pairs into the OHDSI tables. Conversely, if the returned mappings contained more unique ICD-10-CM codes than SNOMED, we performed the equivalent exercise, mapping each ICD-10-CM code to SNOMED via the IMO service and then inserting the resultant pairs (see Figure 1 for more detail). </w:t>
      </w:r>
    </w:p>
    <w:p w:rsidRPr="00E93E48" w:rsidR="00E93E48" w:rsidP="00E93E48" w:rsidRDefault="00E93E48" w14:paraId="6BB71026" w14:textId="77777777">
      <w:pPr>
        <w:pBdr>
          <w:top w:val="nil"/>
          <w:left w:val="nil"/>
          <w:bottom w:val="nil"/>
          <w:right w:val="nil"/>
          <w:between w:val="nil"/>
        </w:pBdr>
        <w:spacing w:after="120"/>
        <w:jc w:val="both"/>
        <w:rPr>
          <w:rFonts w:ascii="Calibri" w:hAnsi="Calibri" w:eastAsia="Calibri" w:cs="Calibri"/>
          <w:sz w:val="22"/>
          <w:szCs w:val="22"/>
        </w:rPr>
      </w:pPr>
      <w:r w:rsidRPr="00E93E48">
        <w:rPr>
          <w:rFonts w:ascii="Calibri" w:hAnsi="Calibri" w:eastAsia="Calibri" w:cs="Calibri"/>
          <w:sz w:val="22"/>
          <w:szCs w:val="22"/>
        </w:rPr>
        <w:t>To identify the impact of the changes to the ETL process, we then ran a script in Python to identify the unique interface terminology items that had additional SNOMED-CT® and/or ICD-10-CM codes added to the mapping that were not included in the legacy approach. In other words, we analyzed the data set to identify novel relationships between interface terminology items and ICD-10-CM codes that existed only in the data created by the new ETL.</w:t>
      </w:r>
    </w:p>
    <w:p w:rsidR="00E93E48" w:rsidP="00E93E48" w:rsidRDefault="00E93E48" w14:paraId="75C4596A" w14:textId="77777777">
      <w:pPr>
        <w:pBdr>
          <w:top w:val="nil"/>
          <w:left w:val="nil"/>
          <w:bottom w:val="nil"/>
          <w:right w:val="nil"/>
          <w:between w:val="nil"/>
        </w:pBdr>
        <w:spacing w:after="120"/>
        <w:jc w:val="both"/>
        <w:rPr>
          <w:rFonts w:ascii="Calibri" w:hAnsi="Calibri" w:eastAsia="Calibri" w:cs="Calibri"/>
          <w:sz w:val="22"/>
          <w:szCs w:val="22"/>
        </w:rPr>
      </w:pPr>
      <w:r w:rsidRPr="00E93E48">
        <w:rPr>
          <w:rFonts w:ascii="Calibri" w:hAnsi="Calibri" w:eastAsia="Calibri" w:cs="Calibri"/>
          <w:sz w:val="22"/>
          <w:szCs w:val="22"/>
        </w:rPr>
        <w:t>We then ran parameterized SQL code against our local EHR data to define the number of patients who would only be retrievable through this technique for each ICD-10-CM code – in other words, patients who had an interface terminology item in their chart that only mapped to a given ICD-10-CM code using the expanded technique and not using the legacy ETL technique.</w:t>
      </w:r>
    </w:p>
    <w:p w:rsidRPr="00E93E48" w:rsidR="00E93E48" w:rsidP="00E93E48" w:rsidRDefault="00E93E48" w14:paraId="6CBA0FF9" w14:textId="77777777">
      <w:pPr>
        <w:pBdr>
          <w:top w:val="nil"/>
          <w:left w:val="nil"/>
          <w:bottom w:val="nil"/>
          <w:right w:val="nil"/>
          <w:between w:val="nil"/>
        </w:pBdr>
        <w:spacing w:after="120"/>
        <w:jc w:val="both"/>
        <w:rPr>
          <w:rFonts w:ascii="Calibri" w:hAnsi="Calibri" w:eastAsia="Calibri" w:cs="Calibri"/>
          <w:sz w:val="22"/>
          <w:szCs w:val="22"/>
        </w:rPr>
      </w:pPr>
      <w:r w:rsidRPr="00E93E48">
        <w:rPr>
          <w:rFonts w:ascii="Calibri" w:hAnsi="Calibri" w:eastAsia="Calibri" w:cs="Calibri"/>
          <w:sz w:val="22"/>
          <w:szCs w:val="22"/>
        </w:rPr>
        <w:t xml:space="preserve">We then ranked the codes retrieved in this way by percentage of patients added compared to the original retrieved cohort and measured the codes most significantly impacted by the technique. </w:t>
      </w:r>
    </w:p>
    <w:p w:rsidRPr="00E93E48" w:rsidR="00E93E48" w:rsidP="00E93E48" w:rsidRDefault="00E93E48" w14:paraId="3903AA42" w14:textId="69A144CF">
      <w:pPr>
        <w:pBdr>
          <w:top w:val="nil"/>
          <w:left w:val="nil"/>
          <w:bottom w:val="nil"/>
          <w:right w:val="nil"/>
          <w:between w:val="nil"/>
        </w:pBdr>
        <w:spacing w:after="120"/>
        <w:jc w:val="both"/>
        <w:rPr>
          <w:rFonts w:ascii="Calibri" w:hAnsi="Calibri" w:eastAsia="Calibri" w:cs="Calibri"/>
          <w:sz w:val="22"/>
          <w:szCs w:val="22"/>
        </w:rPr>
      </w:pPr>
      <w:r w:rsidRPr="00E93E48">
        <w:rPr>
          <w:rFonts w:ascii="Calibri" w:hAnsi="Calibri" w:eastAsia="Calibri" w:cs="Calibri"/>
          <w:sz w:val="22"/>
          <w:szCs w:val="22"/>
        </w:rPr>
        <w:t xml:space="preserve"> </w:t>
      </w:r>
      <w:r w:rsidRPr="00BF549D">
        <w:rPr>
          <w:noProof/>
          <w:vertAlign w:val="subscript"/>
        </w:rPr>
        <w:drawing>
          <wp:inline distT="0" distB="0" distL="0" distR="0" wp14:anchorId="6AD9B979" wp14:editId="3DAD55F6">
            <wp:extent cx="3500327" cy="1443136"/>
            <wp:effectExtent l="19050" t="19050" r="24130" b="24130"/>
            <wp:docPr id="10342646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264672" name=""/>
                    <pic:cNvPicPr/>
                  </pic:nvPicPr>
                  <pic:blipFill>
                    <a:blip r:embed="rId8"/>
                    <a:stretch>
                      <a:fillRect/>
                    </a:stretch>
                  </pic:blipFill>
                  <pic:spPr>
                    <a:xfrm>
                      <a:off x="0" y="0"/>
                      <a:ext cx="3572225" cy="1472779"/>
                    </a:xfrm>
                    <a:prstGeom prst="rect">
                      <a:avLst/>
                    </a:prstGeom>
                    <a:ln>
                      <a:solidFill>
                        <a:schemeClr val="tx1"/>
                      </a:solidFill>
                    </a:ln>
                  </pic:spPr>
                </pic:pic>
              </a:graphicData>
            </a:graphic>
          </wp:inline>
        </w:drawing>
      </w:r>
    </w:p>
    <w:p w:rsidRPr="00E93E48" w:rsidR="00E93E48" w:rsidP="00E93E48" w:rsidRDefault="00E93E48" w14:paraId="0F455325" w14:textId="5CA787E8">
      <w:pPr>
        <w:pBdr>
          <w:top w:val="nil"/>
          <w:left w:val="nil"/>
          <w:bottom w:val="nil"/>
          <w:right w:val="nil"/>
          <w:between w:val="nil"/>
        </w:pBdr>
        <w:spacing w:after="120"/>
        <w:jc w:val="both"/>
        <w:rPr>
          <w:rFonts w:ascii="Calibri" w:hAnsi="Calibri" w:eastAsia="Calibri" w:cs="Calibri"/>
          <w:b/>
          <w:bCs/>
          <w:sz w:val="22"/>
          <w:szCs w:val="22"/>
        </w:rPr>
      </w:pPr>
      <w:r w:rsidRPr="00E93E48">
        <w:rPr>
          <w:rFonts w:ascii="Calibri" w:hAnsi="Calibri" w:eastAsia="Calibri" w:cs="Calibri"/>
          <w:b/>
          <w:bCs/>
          <w:sz w:val="22"/>
          <w:szCs w:val="22"/>
        </w:rPr>
        <w:t>Figure 1. Alternate ETL techniques for modeling diagnosis data into the OMOP CDM</w:t>
      </w:r>
    </w:p>
    <w:p w:rsidR="00E93E48" w:rsidP="00E93E48" w:rsidRDefault="00E93E48" w14:paraId="3F4C5373" w14:textId="77777777">
      <w:pPr>
        <w:pBdr>
          <w:top w:val="nil"/>
          <w:left w:val="nil"/>
          <w:bottom w:val="nil"/>
          <w:right w:val="nil"/>
          <w:between w:val="nil"/>
        </w:pBdr>
        <w:spacing w:after="120"/>
        <w:jc w:val="both"/>
        <w:rPr>
          <w:rFonts w:ascii="Calibri" w:hAnsi="Calibri" w:eastAsia="Calibri" w:cs="Calibri"/>
          <w:sz w:val="22"/>
          <w:szCs w:val="22"/>
        </w:rPr>
      </w:pPr>
    </w:p>
    <w:p w:rsidR="003260A5" w:rsidP="5EDB94E7" w:rsidRDefault="00E93E48" w14:paraId="68821188" w14:textId="4F228040">
      <w:pPr>
        <w:pBdr>
          <w:top w:val="nil" w:color="000000" w:sz="0" w:space="0"/>
          <w:left w:val="nil" w:color="000000" w:sz="0" w:space="0"/>
          <w:bottom w:val="nil" w:color="000000" w:sz="0" w:space="0"/>
          <w:right w:val="nil" w:color="000000" w:sz="0" w:space="0"/>
          <w:between w:val="nil" w:color="000000" w:sz="0" w:space="0"/>
        </w:pBdr>
        <w:spacing w:after="120"/>
        <w:jc w:val="both"/>
        <w:rPr>
          <w:rFonts w:ascii="Calibri" w:hAnsi="Calibri" w:eastAsia="Calibri" w:cs="Calibri"/>
          <w:b w:val="1"/>
          <w:bCs w:val="1"/>
          <w:color w:val="000000"/>
          <w:sz w:val="22"/>
          <w:szCs w:val="22"/>
        </w:rPr>
      </w:pPr>
      <w:r w:rsidRPr="5EDB94E7" w:rsidR="00E93E48">
        <w:rPr>
          <w:rFonts w:ascii="Calibri" w:hAnsi="Calibri" w:eastAsia="Calibri" w:cs="Calibri"/>
          <w:b w:val="1"/>
          <w:bCs w:val="1"/>
          <w:sz w:val="22"/>
          <w:szCs w:val="22"/>
        </w:rPr>
        <w:t>Results</w:t>
      </w:r>
    </w:p>
    <w:p w:rsidRPr="003D6A8F" w:rsidR="003D6A8F" w:rsidP="5EDB94E7" w:rsidRDefault="003D6A8F" w14:paraId="2D05F890" w14:textId="77777777">
      <w:pPr>
        <w:pBdr>
          <w:top w:val="nil" w:color="000000" w:sz="0" w:space="0"/>
          <w:left w:val="nil" w:color="000000" w:sz="0" w:space="0"/>
          <w:bottom w:val="nil" w:color="000000" w:sz="0" w:space="0"/>
          <w:right w:val="nil" w:color="000000" w:sz="0" w:space="0"/>
          <w:between w:val="nil" w:color="000000" w:sz="0" w:space="0"/>
        </w:pBdr>
        <w:spacing w:after="120"/>
        <w:jc w:val="both"/>
        <w:rPr>
          <w:rFonts w:ascii="Calibri" w:hAnsi="Calibri" w:eastAsia="Calibri" w:cs="Calibri"/>
          <w:sz w:val="22"/>
          <w:szCs w:val="22"/>
        </w:rPr>
      </w:pPr>
      <w:r w:rsidRPr="5EDB94E7" w:rsidR="003D6A8F">
        <w:rPr>
          <w:rFonts w:ascii="Calibri" w:hAnsi="Calibri" w:eastAsia="Calibri" w:cs="Calibri"/>
          <w:sz w:val="22"/>
          <w:szCs w:val="22"/>
        </w:rPr>
        <w:t xml:space="preserve">Running our alternate version of the OHDSI ETL process against our synthetic data set of 163,078 terminology items then querying local EHR data revealed that the enhanced ETL technique generates </w:t>
      </w:r>
      <w:r w:rsidRPr="5EDB94E7" w:rsidR="003D6A8F">
        <w:rPr>
          <w:rFonts w:ascii="Calibri" w:hAnsi="Calibri" w:eastAsia="Calibri" w:cs="Calibri"/>
          <w:sz w:val="22"/>
          <w:szCs w:val="22"/>
        </w:rPr>
        <w:t>additional</w:t>
      </w:r>
      <w:r w:rsidRPr="5EDB94E7" w:rsidR="003D6A8F">
        <w:rPr>
          <w:rFonts w:ascii="Calibri" w:hAnsi="Calibri" w:eastAsia="Calibri" w:cs="Calibri"/>
          <w:sz w:val="22"/>
          <w:szCs w:val="22"/>
        </w:rPr>
        <w:t xml:space="preserve"> patients for 4,473 unique ICD-10-CM codes. These ICD-10-CM codes were enhanced by an average of 587 </w:t>
      </w:r>
      <w:r w:rsidRPr="5EDB94E7" w:rsidR="003D6A8F">
        <w:rPr>
          <w:rFonts w:ascii="Calibri" w:hAnsi="Calibri" w:eastAsia="Calibri" w:cs="Calibri"/>
          <w:sz w:val="22"/>
          <w:szCs w:val="22"/>
        </w:rPr>
        <w:t>additional</w:t>
      </w:r>
      <w:r w:rsidRPr="5EDB94E7" w:rsidR="003D6A8F">
        <w:rPr>
          <w:rFonts w:ascii="Calibri" w:hAnsi="Calibri" w:eastAsia="Calibri" w:cs="Calibri"/>
          <w:sz w:val="22"/>
          <w:szCs w:val="22"/>
        </w:rPr>
        <w:t xml:space="preserve"> patients within local EHR data. Table 1 details some of the ICD-10 codes particularly </w:t>
      </w:r>
      <w:r w:rsidRPr="5EDB94E7" w:rsidR="003D6A8F">
        <w:rPr>
          <w:rFonts w:ascii="Calibri" w:hAnsi="Calibri" w:eastAsia="Calibri" w:cs="Calibri"/>
          <w:sz w:val="22"/>
          <w:szCs w:val="22"/>
        </w:rPr>
        <w:t>impacted</w:t>
      </w:r>
      <w:r w:rsidRPr="5EDB94E7" w:rsidR="003D6A8F">
        <w:rPr>
          <w:rFonts w:ascii="Calibri" w:hAnsi="Calibri" w:eastAsia="Calibri" w:cs="Calibri"/>
          <w:sz w:val="22"/>
          <w:szCs w:val="22"/>
        </w:rPr>
        <w:t xml:space="preserve"> by this technique.</w:t>
      </w:r>
    </w:p>
    <w:p w:rsidRPr="003D6A8F" w:rsidR="003D6A8F" w:rsidP="003D6A8F" w:rsidRDefault="003D6A8F" w14:paraId="591D6CD3" w14:textId="77777777">
      <w:pPr>
        <w:pBdr>
          <w:top w:val="nil"/>
          <w:left w:val="nil"/>
          <w:bottom w:val="nil"/>
          <w:right w:val="nil"/>
          <w:between w:val="nil"/>
        </w:pBdr>
        <w:spacing w:after="120"/>
        <w:rPr>
          <w:rFonts w:ascii="Calibri" w:hAnsi="Calibri" w:eastAsia="Calibri" w:cs="Calibri"/>
          <w:sz w:val="22"/>
          <w:szCs w:val="22"/>
        </w:rPr>
      </w:pPr>
    </w:p>
    <w:p w:rsidR="5EDB94E7" w:rsidP="5EDB94E7" w:rsidRDefault="5EDB94E7" w14:paraId="3C1128FE" w14:textId="0B446A17">
      <w:pPr>
        <w:pBdr>
          <w:top w:val="nil" w:color="000000" w:sz="0" w:space="0"/>
          <w:left w:val="nil" w:color="000000" w:sz="0" w:space="0"/>
          <w:bottom w:val="nil" w:color="000000" w:sz="0" w:space="0"/>
          <w:right w:val="nil" w:color="000000" w:sz="0" w:space="0"/>
          <w:between w:val="nil" w:color="000000" w:sz="0" w:space="0"/>
        </w:pBdr>
        <w:spacing w:after="120"/>
        <w:rPr>
          <w:rFonts w:ascii="Calibri" w:hAnsi="Calibri" w:eastAsia="Calibri" w:cs="Calibri"/>
          <w:b w:val="1"/>
          <w:bCs w:val="1"/>
          <w:sz w:val="22"/>
          <w:szCs w:val="22"/>
        </w:rPr>
      </w:pPr>
    </w:p>
    <w:p w:rsidR="5EDB94E7" w:rsidP="5EDB94E7" w:rsidRDefault="5EDB94E7" w14:paraId="23AF1BA6" w14:textId="12D05EF2">
      <w:pPr>
        <w:pBdr>
          <w:top w:val="nil" w:color="000000" w:sz="0" w:space="0"/>
          <w:left w:val="nil" w:color="000000" w:sz="0" w:space="0"/>
          <w:bottom w:val="nil" w:color="000000" w:sz="0" w:space="0"/>
          <w:right w:val="nil" w:color="000000" w:sz="0" w:space="0"/>
          <w:between w:val="nil" w:color="000000" w:sz="0" w:space="0"/>
        </w:pBdr>
        <w:spacing w:after="120"/>
        <w:rPr>
          <w:rFonts w:ascii="Calibri" w:hAnsi="Calibri" w:eastAsia="Calibri" w:cs="Calibri"/>
          <w:b w:val="1"/>
          <w:bCs w:val="1"/>
          <w:sz w:val="22"/>
          <w:szCs w:val="22"/>
        </w:rPr>
      </w:pPr>
    </w:p>
    <w:p w:rsidR="5EDB94E7" w:rsidP="5EDB94E7" w:rsidRDefault="5EDB94E7" w14:paraId="0A6F9937" w14:textId="272004A5">
      <w:pPr>
        <w:pBdr>
          <w:top w:val="nil" w:color="000000" w:sz="0" w:space="0"/>
          <w:left w:val="nil" w:color="000000" w:sz="0" w:space="0"/>
          <w:bottom w:val="nil" w:color="000000" w:sz="0" w:space="0"/>
          <w:right w:val="nil" w:color="000000" w:sz="0" w:space="0"/>
          <w:between w:val="nil" w:color="000000" w:sz="0" w:space="0"/>
        </w:pBdr>
        <w:spacing w:after="120"/>
        <w:rPr>
          <w:rFonts w:ascii="Calibri" w:hAnsi="Calibri" w:eastAsia="Calibri" w:cs="Calibri"/>
          <w:b w:val="1"/>
          <w:bCs w:val="1"/>
          <w:sz w:val="22"/>
          <w:szCs w:val="22"/>
        </w:rPr>
      </w:pPr>
    </w:p>
    <w:p w:rsidR="003D6A8F" w:rsidP="003D6A8F" w:rsidRDefault="003D6A8F" w14:paraId="04F10788" w14:textId="77777777">
      <w:pPr>
        <w:pBdr>
          <w:top w:val="nil"/>
          <w:left w:val="nil"/>
          <w:bottom w:val="nil"/>
          <w:right w:val="nil"/>
          <w:between w:val="nil"/>
        </w:pBdr>
        <w:spacing w:after="120"/>
        <w:rPr>
          <w:rFonts w:ascii="Calibri" w:hAnsi="Calibri" w:eastAsia="Calibri" w:cs="Calibri"/>
          <w:b/>
          <w:noProof/>
          <w:sz w:val="22"/>
          <w:szCs w:val="22"/>
        </w:rPr>
      </w:pPr>
      <w:r w:rsidRPr="003D6A8F">
        <w:rPr>
          <w:rFonts w:ascii="Calibri" w:hAnsi="Calibri" w:eastAsia="Calibri" w:cs="Calibri"/>
          <w:b/>
          <w:bCs/>
          <w:sz w:val="22"/>
          <w:szCs w:val="22"/>
        </w:rPr>
        <w:t>Table 1. Five ICD-10 codes most impacted by alternate ETL method</w:t>
      </w:r>
    </w:p>
    <w:tbl>
      <w:tblPr>
        <w:tblW w:w="0" w:type="auto"/>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1080"/>
        <w:gridCol w:w="3330"/>
        <w:gridCol w:w="1710"/>
        <w:gridCol w:w="2993"/>
      </w:tblGrid>
      <w:tr w:rsidR="003D6A8F" w:rsidTr="5A7E7391" w14:paraId="5E98558A" w14:textId="77777777">
        <w:trPr>
          <w:trHeight w:val="775" w:hRule="exact"/>
        </w:trPr>
        <w:tc>
          <w:tcPr>
            <w:tcW w:w="1080" w:type="dxa"/>
          </w:tcPr>
          <w:p w:rsidRPr="001C76E3" w:rsidR="003D6A8F" w:rsidRDefault="003D6A8F" w14:paraId="2DBA8DAD" w14:textId="77777777">
            <w:pPr>
              <w:pStyle w:val="AMIABodyText"/>
              <w:spacing w:after="0"/>
              <w:jc w:val="left"/>
              <w:rPr>
                <w:b/>
              </w:rPr>
            </w:pPr>
            <w:r>
              <w:rPr>
                <w:b/>
              </w:rPr>
              <w:t>ICD-10 code</w:t>
            </w:r>
          </w:p>
        </w:tc>
        <w:tc>
          <w:tcPr>
            <w:tcW w:w="3330" w:type="dxa"/>
          </w:tcPr>
          <w:p w:rsidRPr="001C76E3" w:rsidR="003D6A8F" w:rsidRDefault="003D6A8F" w14:paraId="68D9F233" w14:textId="77777777">
            <w:pPr>
              <w:pStyle w:val="AMIABodyText"/>
              <w:spacing w:after="0"/>
              <w:jc w:val="left"/>
              <w:rPr>
                <w:b/>
              </w:rPr>
            </w:pPr>
            <w:r>
              <w:rPr>
                <w:b/>
              </w:rPr>
              <w:t>Diagnosis name</w:t>
            </w:r>
          </w:p>
        </w:tc>
        <w:tc>
          <w:tcPr>
            <w:tcW w:w="1710" w:type="dxa"/>
          </w:tcPr>
          <w:p w:rsidRPr="001C76E3" w:rsidR="003D6A8F" w:rsidRDefault="003D6A8F" w14:paraId="0C2D6BE4" w14:textId="77777777">
            <w:pPr>
              <w:pStyle w:val="AMIABodyText"/>
              <w:spacing w:after="0"/>
              <w:jc w:val="left"/>
              <w:rPr>
                <w:b/>
              </w:rPr>
            </w:pPr>
            <w:r>
              <w:rPr>
                <w:b/>
              </w:rPr>
              <w:t>Count of patients with legacy ETL method</w:t>
            </w:r>
          </w:p>
        </w:tc>
        <w:tc>
          <w:tcPr>
            <w:tcW w:w="2993" w:type="dxa"/>
          </w:tcPr>
          <w:p w:rsidRPr="001C76E3" w:rsidR="003D6A8F" w:rsidRDefault="003D6A8F" w14:paraId="4590C9BE" w14:textId="77777777">
            <w:pPr>
              <w:pStyle w:val="AMIABodyText"/>
              <w:spacing w:after="0"/>
              <w:jc w:val="left"/>
              <w:rPr>
                <w:b/>
              </w:rPr>
            </w:pPr>
            <w:r>
              <w:rPr>
                <w:b/>
              </w:rPr>
              <w:t xml:space="preserve">Count of patients with enhanced ETL method </w:t>
            </w:r>
          </w:p>
        </w:tc>
      </w:tr>
      <w:tr w:rsidR="003D6A8F" w:rsidTr="5A7E7391" w14:paraId="61BF7E80" w14:textId="77777777">
        <w:trPr>
          <w:trHeight w:val="523" w:hRule="exact"/>
        </w:trPr>
        <w:tc>
          <w:tcPr>
            <w:tcW w:w="1080" w:type="dxa"/>
          </w:tcPr>
          <w:p w:rsidR="003D6A8F" w:rsidRDefault="003D6A8F" w14:paraId="15166EF8" w14:textId="77777777">
            <w:pPr>
              <w:pStyle w:val="AMIABodyText"/>
              <w:spacing w:after="0"/>
              <w:jc w:val="left"/>
            </w:pPr>
            <w:r>
              <w:t>Z40.00</w:t>
            </w:r>
          </w:p>
        </w:tc>
        <w:tc>
          <w:tcPr>
            <w:tcW w:w="3330" w:type="dxa"/>
          </w:tcPr>
          <w:p w:rsidR="003D6A8F" w:rsidRDefault="003D6A8F" w14:paraId="18ABDFC9" w14:textId="77777777">
            <w:pPr>
              <w:pStyle w:val="AMIABodyText"/>
              <w:spacing w:after="0"/>
              <w:jc w:val="left"/>
            </w:pPr>
            <w:r>
              <w:t>Encounter for prophylactic removal of unspecified organ</w:t>
            </w:r>
          </w:p>
        </w:tc>
        <w:tc>
          <w:tcPr>
            <w:tcW w:w="1710" w:type="dxa"/>
          </w:tcPr>
          <w:p w:rsidR="003D6A8F" w:rsidRDefault="4FFDD508" w14:paraId="14B4E4A2" w14:textId="12965E31">
            <w:pPr>
              <w:pStyle w:val="AMIABodyText"/>
              <w:spacing w:after="0"/>
              <w:jc w:val="left"/>
            </w:pPr>
            <w:r>
              <w:t>3</w:t>
            </w:r>
          </w:p>
        </w:tc>
        <w:tc>
          <w:tcPr>
            <w:tcW w:w="2993" w:type="dxa"/>
          </w:tcPr>
          <w:p w:rsidR="003D6A8F" w:rsidRDefault="158EDDF1" w14:paraId="7AB3E0AE" w14:textId="23D10097">
            <w:pPr>
              <w:pStyle w:val="AMIABodyText"/>
              <w:spacing w:after="0"/>
              <w:jc w:val="left"/>
            </w:pPr>
            <w:r>
              <w:t>6336</w:t>
            </w:r>
          </w:p>
        </w:tc>
      </w:tr>
      <w:tr w:rsidR="003D6A8F" w:rsidTr="5A7E7391" w14:paraId="32272BA9" w14:textId="77777777">
        <w:trPr>
          <w:trHeight w:val="523" w:hRule="exact"/>
        </w:trPr>
        <w:tc>
          <w:tcPr>
            <w:tcW w:w="1080" w:type="dxa"/>
          </w:tcPr>
          <w:p w:rsidR="003D6A8F" w:rsidRDefault="003D6A8F" w14:paraId="0A64E81E" w14:textId="77777777">
            <w:pPr>
              <w:pStyle w:val="AMIABodyText"/>
              <w:spacing w:after="0"/>
              <w:jc w:val="left"/>
            </w:pPr>
            <w:r>
              <w:t>H44.50</w:t>
            </w:r>
          </w:p>
        </w:tc>
        <w:tc>
          <w:tcPr>
            <w:tcW w:w="3330" w:type="dxa"/>
          </w:tcPr>
          <w:p w:rsidRPr="0094113B" w:rsidR="003D6A8F" w:rsidRDefault="003D6A8F" w14:paraId="5C2984CA" w14:textId="77777777">
            <w:pPr>
              <w:pStyle w:val="AMIABodyText"/>
              <w:spacing w:after="0"/>
              <w:jc w:val="left"/>
            </w:pPr>
            <w:r w:rsidRPr="00436858">
              <w:t>Unspecified degenerated conditions of globe</w:t>
            </w:r>
          </w:p>
        </w:tc>
        <w:tc>
          <w:tcPr>
            <w:tcW w:w="1710" w:type="dxa"/>
          </w:tcPr>
          <w:p w:rsidR="003D6A8F" w:rsidRDefault="3571BBE3" w14:paraId="3FD81492" w14:textId="58BE09BE">
            <w:pPr>
              <w:pStyle w:val="AMIABodyText"/>
              <w:spacing w:after="0"/>
              <w:jc w:val="left"/>
            </w:pPr>
            <w:r>
              <w:t>1</w:t>
            </w:r>
          </w:p>
        </w:tc>
        <w:tc>
          <w:tcPr>
            <w:tcW w:w="2993" w:type="dxa"/>
          </w:tcPr>
          <w:p w:rsidR="003D6A8F" w:rsidRDefault="4632E0F6" w14:paraId="5F9A010D" w14:textId="7E72974B">
            <w:pPr>
              <w:pStyle w:val="AMIABodyText"/>
              <w:spacing w:after="0"/>
              <w:jc w:val="left"/>
            </w:pPr>
            <w:r>
              <w:t>8519</w:t>
            </w:r>
          </w:p>
        </w:tc>
      </w:tr>
      <w:tr w:rsidR="003D6A8F" w:rsidTr="5A7E7391" w14:paraId="493297B3" w14:textId="77777777">
        <w:trPr>
          <w:trHeight w:val="730" w:hRule="exact"/>
        </w:trPr>
        <w:tc>
          <w:tcPr>
            <w:tcW w:w="1080" w:type="dxa"/>
          </w:tcPr>
          <w:p w:rsidR="003D6A8F" w:rsidRDefault="003D6A8F" w14:paraId="23C2C75E" w14:textId="77777777">
            <w:pPr>
              <w:pStyle w:val="AMIABodyText"/>
              <w:spacing w:after="0"/>
              <w:jc w:val="left"/>
            </w:pPr>
            <w:r>
              <w:t>Z00.71</w:t>
            </w:r>
          </w:p>
        </w:tc>
        <w:tc>
          <w:tcPr>
            <w:tcW w:w="3330" w:type="dxa"/>
          </w:tcPr>
          <w:p w:rsidR="003D6A8F" w:rsidRDefault="003D6A8F" w14:paraId="026713E1" w14:textId="77777777">
            <w:pPr>
              <w:pStyle w:val="AMIABodyText"/>
              <w:spacing w:after="0"/>
              <w:jc w:val="left"/>
            </w:pPr>
            <w:r w:rsidRPr="000B437C">
              <w:t>Encounter for examination for period of delayed growth in childhood with abnormal findings</w:t>
            </w:r>
          </w:p>
        </w:tc>
        <w:tc>
          <w:tcPr>
            <w:tcW w:w="1710" w:type="dxa"/>
          </w:tcPr>
          <w:p w:rsidR="003D6A8F" w:rsidRDefault="0F27038A" w14:paraId="47725117" w14:textId="69A468B8">
            <w:pPr>
              <w:pStyle w:val="AMIABodyText"/>
              <w:spacing w:after="0"/>
              <w:jc w:val="left"/>
            </w:pPr>
            <w:r>
              <w:t>0</w:t>
            </w:r>
          </w:p>
        </w:tc>
        <w:tc>
          <w:tcPr>
            <w:tcW w:w="2993" w:type="dxa"/>
          </w:tcPr>
          <w:p w:rsidR="003D6A8F" w:rsidRDefault="7C5747B8" w14:paraId="079DBB99" w14:textId="7C397733">
            <w:pPr>
              <w:pStyle w:val="AMIABodyText"/>
              <w:spacing w:after="0"/>
              <w:jc w:val="left"/>
            </w:pPr>
            <w:r>
              <w:t>78</w:t>
            </w:r>
            <w:r w:rsidR="065ECA61">
              <w:t>3</w:t>
            </w:r>
          </w:p>
        </w:tc>
      </w:tr>
      <w:tr w:rsidR="003D6A8F" w:rsidTr="5A7E7391" w14:paraId="54E6FF59" w14:textId="77777777">
        <w:trPr>
          <w:trHeight w:val="460" w:hRule="exact"/>
        </w:trPr>
        <w:tc>
          <w:tcPr>
            <w:tcW w:w="1080" w:type="dxa"/>
          </w:tcPr>
          <w:p w:rsidR="003D6A8F" w:rsidRDefault="003D6A8F" w14:paraId="34F293EE" w14:textId="77777777">
            <w:pPr>
              <w:pStyle w:val="AMIABodyText"/>
              <w:spacing w:after="0"/>
              <w:jc w:val="left"/>
            </w:pPr>
            <w:r>
              <w:t>H44.9</w:t>
            </w:r>
          </w:p>
        </w:tc>
        <w:tc>
          <w:tcPr>
            <w:tcW w:w="3330" w:type="dxa"/>
          </w:tcPr>
          <w:p w:rsidR="003D6A8F" w:rsidRDefault="003D6A8F" w14:paraId="5921EC7F" w14:textId="77777777">
            <w:pPr>
              <w:pStyle w:val="AMIABodyText"/>
              <w:spacing w:after="0"/>
              <w:jc w:val="left"/>
            </w:pPr>
            <w:r w:rsidRPr="00C5116F">
              <w:t>Unspecified disorder of globe</w:t>
            </w:r>
          </w:p>
        </w:tc>
        <w:tc>
          <w:tcPr>
            <w:tcW w:w="1710" w:type="dxa"/>
          </w:tcPr>
          <w:p w:rsidRPr="00001FF6" w:rsidR="003D6A8F" w:rsidRDefault="4A17CE9F" w14:paraId="057AB894" w14:textId="4AD93756">
            <w:pPr>
              <w:pStyle w:val="AMIABodyText"/>
              <w:spacing w:after="0"/>
              <w:jc w:val="left"/>
            </w:pPr>
            <w:r>
              <w:t>0</w:t>
            </w:r>
          </w:p>
        </w:tc>
        <w:tc>
          <w:tcPr>
            <w:tcW w:w="2993" w:type="dxa"/>
          </w:tcPr>
          <w:p w:rsidR="003D6A8F" w:rsidRDefault="67D44AD2" w14:paraId="5007C395" w14:textId="4B54E367">
            <w:pPr>
              <w:pStyle w:val="AMIABodyText"/>
              <w:spacing w:after="0"/>
              <w:jc w:val="left"/>
            </w:pPr>
            <w:r>
              <w:t>6922</w:t>
            </w:r>
          </w:p>
        </w:tc>
      </w:tr>
      <w:tr w:rsidR="5A7E7391" w:rsidTr="5A7E7391" w14:paraId="481D8704" w14:textId="77777777">
        <w:trPr>
          <w:trHeight w:val="460"/>
        </w:trPr>
        <w:tc>
          <w:tcPr>
            <w:tcW w:w="1080" w:type="dxa"/>
          </w:tcPr>
          <w:p w:rsidR="67D44AD2" w:rsidP="5A7E7391" w:rsidRDefault="67D44AD2" w14:paraId="0338353B" w14:textId="182FC41A">
            <w:pPr>
              <w:pStyle w:val="AMIABodyText"/>
              <w:jc w:val="left"/>
            </w:pPr>
            <w:r>
              <w:t>S76.001A</w:t>
            </w:r>
          </w:p>
        </w:tc>
        <w:tc>
          <w:tcPr>
            <w:tcW w:w="3330" w:type="dxa"/>
          </w:tcPr>
          <w:p w:rsidR="1ED7BBDF" w:rsidP="5A7E7391" w:rsidRDefault="1ED7BBDF" w14:paraId="1706175B" w14:textId="3E5B64F5">
            <w:pPr>
              <w:pStyle w:val="AMIABodyText"/>
              <w:jc w:val="left"/>
            </w:pPr>
            <w:r>
              <w:t>Unspecified injury of muscle, fascia and tendon of right hip, initial encounter</w:t>
            </w:r>
          </w:p>
        </w:tc>
        <w:tc>
          <w:tcPr>
            <w:tcW w:w="1710" w:type="dxa"/>
          </w:tcPr>
          <w:p w:rsidR="1ED7BBDF" w:rsidP="5A7E7391" w:rsidRDefault="1ED7BBDF" w14:paraId="2C5D5B93" w14:textId="5A7D0135">
            <w:pPr>
              <w:pStyle w:val="AMIABodyText"/>
              <w:jc w:val="left"/>
            </w:pPr>
            <w:r>
              <w:t>1</w:t>
            </w:r>
          </w:p>
        </w:tc>
        <w:tc>
          <w:tcPr>
            <w:tcW w:w="2993" w:type="dxa"/>
          </w:tcPr>
          <w:p w:rsidR="1ED7BBDF" w:rsidP="5A7E7391" w:rsidRDefault="1ED7BBDF" w14:paraId="196D7C20" w14:textId="2422C4B3">
            <w:pPr>
              <w:pStyle w:val="AMIABodyText"/>
              <w:jc w:val="left"/>
            </w:pPr>
            <w:r>
              <w:t>162</w:t>
            </w:r>
          </w:p>
        </w:tc>
      </w:tr>
    </w:tbl>
    <w:p w:rsidR="198D41BD" w:rsidRDefault="198D41BD" w14:paraId="01F39BAF" w14:textId="39D65AAC"/>
    <w:p w:rsidR="003260A5" w:rsidRDefault="003260A5" w14:paraId="58BFE3BE" w14:textId="77777777">
      <w:pPr>
        <w:pBdr>
          <w:top w:val="nil"/>
          <w:left w:val="nil"/>
          <w:bottom w:val="nil"/>
          <w:right w:val="nil"/>
          <w:between w:val="nil"/>
        </w:pBdr>
        <w:tabs>
          <w:tab w:val="left" w:pos="9360"/>
        </w:tabs>
        <w:spacing w:after="120"/>
        <w:jc w:val="both"/>
        <w:rPr>
          <w:rFonts w:ascii="Calibri" w:hAnsi="Calibri" w:eastAsia="Calibri" w:cs="Calibri"/>
          <w:sz w:val="22"/>
          <w:szCs w:val="22"/>
        </w:rPr>
      </w:pPr>
    </w:p>
    <w:p w:rsidR="003260A5" w:rsidRDefault="00B7418D" w14:paraId="531E23A0" w14:textId="2C1575F3">
      <w:pPr>
        <w:tabs>
          <w:tab w:val="left" w:pos="9360"/>
        </w:tabs>
        <w:spacing w:after="120"/>
        <w:jc w:val="both"/>
        <w:rPr>
          <w:rFonts w:ascii="Calibri" w:hAnsi="Calibri" w:eastAsia="Calibri" w:cs="Calibri"/>
          <w:b/>
          <w:color w:val="000000"/>
          <w:sz w:val="22"/>
          <w:szCs w:val="22"/>
        </w:rPr>
      </w:pPr>
      <w:r>
        <w:rPr>
          <w:rFonts w:ascii="Calibri" w:hAnsi="Calibri" w:eastAsia="Calibri" w:cs="Calibri"/>
          <w:b/>
          <w:color w:val="000000"/>
          <w:sz w:val="22"/>
          <w:szCs w:val="22"/>
        </w:rPr>
        <w:t>Conclusion</w:t>
      </w:r>
    </w:p>
    <w:p w:rsidRPr="003D6A8F" w:rsidR="003260A5" w:rsidRDefault="003D6A8F" w14:paraId="11CED017" w14:textId="1117D91B">
      <w:pPr>
        <w:pBdr>
          <w:top w:val="nil"/>
          <w:left w:val="nil"/>
          <w:bottom w:val="nil"/>
          <w:right w:val="nil"/>
          <w:between w:val="nil"/>
        </w:pBdr>
        <w:spacing w:after="120"/>
        <w:jc w:val="both"/>
        <w:rPr>
          <w:rFonts w:ascii="Calibri" w:hAnsi="Calibri" w:eastAsia="Calibri" w:cs="Calibri"/>
          <w:sz w:val="22"/>
          <w:szCs w:val="22"/>
        </w:rPr>
      </w:pPr>
      <w:r w:rsidRPr="7BB236AE">
        <w:rPr>
          <w:rFonts w:ascii="Calibri" w:hAnsi="Calibri" w:eastAsia="Calibri" w:cs="Calibri"/>
          <w:sz w:val="22"/>
          <w:szCs w:val="22"/>
        </w:rPr>
        <w:t>These findings suggest that our alternate ETL technique affords the opportunity to significantly enhance the recall of computable phenotypes executed against the OHDSI CDM. As more observational studies rely on the use of the CDM to quantify patient exposure to adverse events, comorbidities, and others, it is critical to ensure that we are accurately representing the underlying EHR data as faithfully as possible. Employing the IMO terminology service as part of the OMOP ETL affords the opportunity to more faithfully represent clinical intent in large observational data sets. Future work will focus on replicating these findings entirely within our local EHR data by rerunning the entire OMOP ETL.</w:t>
      </w:r>
    </w:p>
    <w:p w:rsidR="003260A5" w:rsidRDefault="00B7418D" w14:paraId="4611C292" w14:textId="77777777">
      <w:pPr>
        <w:keepNext/>
        <w:pBdr>
          <w:top w:val="nil"/>
          <w:left w:val="nil"/>
          <w:bottom w:val="nil"/>
          <w:right w:val="nil"/>
          <w:between w:val="nil"/>
        </w:pBdr>
        <w:spacing w:before="120" w:after="120"/>
        <w:jc w:val="center"/>
        <w:rPr>
          <w:rFonts w:ascii="Calibri" w:hAnsi="Calibri" w:eastAsia="Calibri" w:cs="Calibri"/>
          <w:b/>
          <w:color w:val="000000"/>
          <w:sz w:val="22"/>
          <w:szCs w:val="22"/>
        </w:rPr>
      </w:pPr>
      <w:r>
        <w:rPr>
          <w:rFonts w:ascii="Calibri" w:hAnsi="Calibri" w:eastAsia="Calibri" w:cs="Calibri"/>
          <w:b/>
          <w:color w:val="000000"/>
          <w:sz w:val="22"/>
          <w:szCs w:val="22"/>
        </w:rPr>
        <w:t>References</w:t>
      </w:r>
    </w:p>
    <w:p w:rsidRPr="003D6A8F" w:rsidR="003D6A8F" w:rsidP="003D6A8F" w:rsidRDefault="003D6A8F" w14:paraId="72CAEFCF" w14:textId="77777777">
      <w:pPr>
        <w:numPr>
          <w:ilvl w:val="0"/>
          <w:numId w:val="1"/>
        </w:numPr>
        <w:pBdr>
          <w:top w:val="nil"/>
          <w:left w:val="nil"/>
          <w:bottom w:val="nil"/>
          <w:right w:val="nil"/>
          <w:between w:val="nil"/>
        </w:pBdr>
        <w:jc w:val="both"/>
        <w:rPr>
          <w:rFonts w:ascii="Calibri" w:hAnsi="Calibri" w:eastAsia="Calibri" w:cs="Calibri"/>
          <w:color w:val="000000"/>
          <w:sz w:val="22"/>
          <w:szCs w:val="22"/>
        </w:rPr>
      </w:pPr>
      <w:r w:rsidRPr="003D6A8F">
        <w:rPr>
          <w:rFonts w:ascii="Calibri" w:hAnsi="Calibri" w:eastAsia="Calibri" w:cs="Calibri"/>
          <w:color w:val="000000"/>
          <w:sz w:val="22"/>
          <w:szCs w:val="22"/>
        </w:rPr>
        <w:t>Weiskopf NG, Weng C. Methods and dimensions of electronic health record data quality assessment: enabling reuse for clinical research. J Am Med Inform Assoc. 2013 Jan 1;20(1):144-51l.</w:t>
      </w:r>
    </w:p>
    <w:p w:rsidRPr="003D6A8F" w:rsidR="003D6A8F" w:rsidP="003D6A8F" w:rsidRDefault="003D6A8F" w14:paraId="6E5EBE2D" w14:textId="77777777">
      <w:pPr>
        <w:numPr>
          <w:ilvl w:val="0"/>
          <w:numId w:val="1"/>
        </w:numPr>
        <w:pBdr>
          <w:top w:val="nil"/>
          <w:left w:val="nil"/>
          <w:bottom w:val="nil"/>
          <w:right w:val="nil"/>
          <w:between w:val="nil"/>
        </w:pBdr>
        <w:jc w:val="both"/>
        <w:rPr>
          <w:rFonts w:ascii="Calibri" w:hAnsi="Calibri" w:eastAsia="Calibri" w:cs="Calibri"/>
          <w:color w:val="000000"/>
          <w:sz w:val="22"/>
          <w:szCs w:val="22"/>
        </w:rPr>
      </w:pPr>
      <w:r w:rsidRPr="003D6A8F">
        <w:rPr>
          <w:rFonts w:ascii="Calibri" w:hAnsi="Calibri" w:eastAsia="Calibri" w:cs="Calibri"/>
          <w:color w:val="000000"/>
          <w:sz w:val="22"/>
          <w:szCs w:val="22"/>
        </w:rPr>
        <w:t>Reich C, Ostropolets A, Ryan P, Rijnbeek P, Schuemie M, Davydov A, Dymshyts D, Hripcsak G. OHDSI Standardized Vocabularies-a large-scale centralized reference ontology for international data harmonization. J Am Med Inform Assoc. 2024 Feb 16;31(3):583-590.</w:t>
      </w:r>
    </w:p>
    <w:p w:rsidRPr="003D6A8F" w:rsidR="003D6A8F" w:rsidP="003D6A8F" w:rsidRDefault="003D6A8F" w14:paraId="43B2BD5B" w14:textId="77777777">
      <w:pPr>
        <w:numPr>
          <w:ilvl w:val="0"/>
          <w:numId w:val="1"/>
        </w:numPr>
        <w:pBdr>
          <w:top w:val="nil"/>
          <w:left w:val="nil"/>
          <w:bottom w:val="nil"/>
          <w:right w:val="nil"/>
          <w:between w:val="nil"/>
        </w:pBdr>
        <w:jc w:val="both"/>
        <w:rPr>
          <w:rFonts w:ascii="Calibri" w:hAnsi="Calibri" w:eastAsia="Calibri" w:cs="Calibri"/>
          <w:color w:val="000000"/>
          <w:sz w:val="22"/>
          <w:szCs w:val="22"/>
        </w:rPr>
      </w:pPr>
      <w:r w:rsidRPr="003D6A8F">
        <w:rPr>
          <w:rFonts w:ascii="Calibri" w:hAnsi="Calibri" w:eastAsia="Calibri" w:cs="Calibri"/>
          <w:color w:val="000000"/>
          <w:sz w:val="22"/>
          <w:szCs w:val="22"/>
        </w:rPr>
        <w:t xml:space="preserve">Burrows EK, Razzaghi H, Utidjian L, Bailey LC. Standardizing Clinical Diagnoses: Evaluating Alternate Terminology Selection. AMIA Jt Summits Transl Sci Proc. 2020 May 30;2020:71-79.  </w:t>
      </w:r>
    </w:p>
    <w:p w:rsidR="003260A5" w:rsidP="003D6A8F" w:rsidRDefault="003260A5" w14:paraId="7AA7E386" w14:textId="02402B54">
      <w:pPr>
        <w:pBdr>
          <w:top w:val="nil"/>
          <w:left w:val="nil"/>
          <w:bottom w:val="nil"/>
          <w:right w:val="nil"/>
          <w:between w:val="nil"/>
        </w:pBdr>
        <w:ind w:left="360"/>
        <w:jc w:val="both"/>
        <w:rPr>
          <w:rFonts w:ascii="Calibri" w:hAnsi="Calibri" w:eastAsia="Calibri" w:cs="Calibri"/>
          <w:sz w:val="22"/>
          <w:szCs w:val="22"/>
        </w:rPr>
      </w:pPr>
    </w:p>
    <w:sectPr w:rsidR="003260A5">
      <w:type w:val="continuous"/>
      <w:pgSz w:w="12240" w:h="15840" w:orient="portrait"/>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616AA" w:rsidRDefault="007616AA" w14:paraId="4CFA1481" w14:textId="77777777">
      <w:r>
        <w:separator/>
      </w:r>
    </w:p>
  </w:endnote>
  <w:endnote w:type="continuationSeparator" w:id="0">
    <w:p w:rsidR="007616AA" w:rsidRDefault="007616AA" w14:paraId="3C53D7D6" w14:textId="77777777">
      <w:r>
        <w:continuationSeparator/>
      </w:r>
    </w:p>
  </w:endnote>
  <w:endnote w:type="continuationNotice" w:id="1">
    <w:p w:rsidR="007616AA" w:rsidRDefault="007616AA" w14:paraId="503BE6F1"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260A5" w:rsidRDefault="003260A5" w14:paraId="69A39FFA" w14:textId="77777777">
    <w:pPr>
      <w:pBdr>
        <w:top w:val="nil"/>
        <w:left w:val="nil"/>
        <w:bottom w:val="nil"/>
        <w:right w:val="nil"/>
        <w:between w:val="nil"/>
      </w:pBdr>
      <w:tabs>
        <w:tab w:val="center" w:pos="4320"/>
        <w:tab w:val="right" w:pos="8640"/>
      </w:tabs>
      <w:jc w:val="right"/>
      <w:rPr>
        <w:color w:val="000000"/>
      </w:rPr>
    </w:pPr>
  </w:p>
  <w:p w:rsidR="003260A5" w:rsidRDefault="003260A5" w14:paraId="453D1B9A" w14:textId="77777777">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616AA" w:rsidRDefault="007616AA" w14:paraId="2C35DA24" w14:textId="77777777">
      <w:r>
        <w:separator/>
      </w:r>
    </w:p>
  </w:footnote>
  <w:footnote w:type="continuationSeparator" w:id="0">
    <w:p w:rsidR="007616AA" w:rsidRDefault="007616AA" w14:paraId="3F763BA3" w14:textId="77777777">
      <w:r>
        <w:continuationSeparator/>
      </w:r>
    </w:p>
  </w:footnote>
  <w:footnote w:type="continuationNotice" w:id="1">
    <w:p w:rsidR="007616AA" w:rsidRDefault="007616AA" w14:paraId="23491011"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8B7DC9"/>
    <w:multiLevelType w:val="multilevel"/>
    <w:tmpl w:val="CC1E305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804271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isplayBackgroundShape/>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60A5"/>
    <w:rsid w:val="000065E0"/>
    <w:rsid w:val="00037097"/>
    <w:rsid w:val="00051F6C"/>
    <w:rsid w:val="000C57B1"/>
    <w:rsid w:val="00102700"/>
    <w:rsid w:val="0012322E"/>
    <w:rsid w:val="00195FF2"/>
    <w:rsid w:val="001B4CA5"/>
    <w:rsid w:val="001F617F"/>
    <w:rsid w:val="001F6CC3"/>
    <w:rsid w:val="001F7955"/>
    <w:rsid w:val="00224372"/>
    <w:rsid w:val="0022587B"/>
    <w:rsid w:val="0023525A"/>
    <w:rsid w:val="002E43BA"/>
    <w:rsid w:val="002F1D45"/>
    <w:rsid w:val="003024BE"/>
    <w:rsid w:val="0031032C"/>
    <w:rsid w:val="003260A5"/>
    <w:rsid w:val="003C7599"/>
    <w:rsid w:val="003D6A8F"/>
    <w:rsid w:val="00412D88"/>
    <w:rsid w:val="00443986"/>
    <w:rsid w:val="004F16B2"/>
    <w:rsid w:val="00530D29"/>
    <w:rsid w:val="005E13F6"/>
    <w:rsid w:val="005E528A"/>
    <w:rsid w:val="006418B5"/>
    <w:rsid w:val="00664FD4"/>
    <w:rsid w:val="0066769D"/>
    <w:rsid w:val="006D3F72"/>
    <w:rsid w:val="00712172"/>
    <w:rsid w:val="007616AA"/>
    <w:rsid w:val="00790CF4"/>
    <w:rsid w:val="007A149A"/>
    <w:rsid w:val="00842CA3"/>
    <w:rsid w:val="008717B4"/>
    <w:rsid w:val="008A2245"/>
    <w:rsid w:val="009269B9"/>
    <w:rsid w:val="00A225E3"/>
    <w:rsid w:val="00A50BAB"/>
    <w:rsid w:val="00A83416"/>
    <w:rsid w:val="00A92CCC"/>
    <w:rsid w:val="00AC5894"/>
    <w:rsid w:val="00AE18C0"/>
    <w:rsid w:val="00B018F9"/>
    <w:rsid w:val="00B53B24"/>
    <w:rsid w:val="00B54012"/>
    <w:rsid w:val="00B66C0F"/>
    <w:rsid w:val="00B7418D"/>
    <w:rsid w:val="00BA18D5"/>
    <w:rsid w:val="00BB5C91"/>
    <w:rsid w:val="00BC013D"/>
    <w:rsid w:val="00BC6AFE"/>
    <w:rsid w:val="00BF549D"/>
    <w:rsid w:val="00C42DD7"/>
    <w:rsid w:val="00C4329A"/>
    <w:rsid w:val="00C83C4A"/>
    <w:rsid w:val="00CA355B"/>
    <w:rsid w:val="00CC3EFD"/>
    <w:rsid w:val="00CF0FE4"/>
    <w:rsid w:val="00D02F9A"/>
    <w:rsid w:val="00D31A17"/>
    <w:rsid w:val="00D61B4B"/>
    <w:rsid w:val="00D6306F"/>
    <w:rsid w:val="00D96F1C"/>
    <w:rsid w:val="00D97C94"/>
    <w:rsid w:val="00DC2C6F"/>
    <w:rsid w:val="00DD3857"/>
    <w:rsid w:val="00DD469E"/>
    <w:rsid w:val="00DF1287"/>
    <w:rsid w:val="00E02A99"/>
    <w:rsid w:val="00E1361C"/>
    <w:rsid w:val="00E340CE"/>
    <w:rsid w:val="00E50A64"/>
    <w:rsid w:val="00E54742"/>
    <w:rsid w:val="00E603C5"/>
    <w:rsid w:val="00E61EBB"/>
    <w:rsid w:val="00E67D45"/>
    <w:rsid w:val="00E93E48"/>
    <w:rsid w:val="00EA3D39"/>
    <w:rsid w:val="00EE0013"/>
    <w:rsid w:val="00EE6777"/>
    <w:rsid w:val="00EF631F"/>
    <w:rsid w:val="00F63813"/>
    <w:rsid w:val="00FA2DB9"/>
    <w:rsid w:val="00FE2111"/>
    <w:rsid w:val="065ECA61"/>
    <w:rsid w:val="0667DE3B"/>
    <w:rsid w:val="0B13AB1F"/>
    <w:rsid w:val="0F27038A"/>
    <w:rsid w:val="0F557548"/>
    <w:rsid w:val="108214FF"/>
    <w:rsid w:val="13C7481E"/>
    <w:rsid w:val="14191B0C"/>
    <w:rsid w:val="14B46416"/>
    <w:rsid w:val="158EDDF1"/>
    <w:rsid w:val="198D41BD"/>
    <w:rsid w:val="1D022695"/>
    <w:rsid w:val="1ED7BBDF"/>
    <w:rsid w:val="2375BCCF"/>
    <w:rsid w:val="2C88CF3C"/>
    <w:rsid w:val="30B21A5A"/>
    <w:rsid w:val="3571BBE3"/>
    <w:rsid w:val="382B31D1"/>
    <w:rsid w:val="3976D8C0"/>
    <w:rsid w:val="3B6D0788"/>
    <w:rsid w:val="3B74EEFB"/>
    <w:rsid w:val="41A156C4"/>
    <w:rsid w:val="432EEA77"/>
    <w:rsid w:val="4632E0F6"/>
    <w:rsid w:val="47F725BE"/>
    <w:rsid w:val="4A17CE9F"/>
    <w:rsid w:val="4A66EEBA"/>
    <w:rsid w:val="4E75A9D4"/>
    <w:rsid w:val="4FFDD508"/>
    <w:rsid w:val="569E53BE"/>
    <w:rsid w:val="58F06894"/>
    <w:rsid w:val="5A6AA6E9"/>
    <w:rsid w:val="5A7E7391"/>
    <w:rsid w:val="5EDB94E7"/>
    <w:rsid w:val="616BB880"/>
    <w:rsid w:val="63FA04F9"/>
    <w:rsid w:val="653ADF32"/>
    <w:rsid w:val="67D44AD2"/>
    <w:rsid w:val="6A72B79F"/>
    <w:rsid w:val="6A83C5E5"/>
    <w:rsid w:val="6C3CC564"/>
    <w:rsid w:val="6FCAC94B"/>
    <w:rsid w:val="71EFF951"/>
    <w:rsid w:val="785F7042"/>
    <w:rsid w:val="7BB236AE"/>
    <w:rsid w:val="7C5747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387F0"/>
  <w15:docId w15:val="{24F08B17-FFA4-4B8A-AE47-10E31A073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paragraph" w:styleId="AMIABodyText" w:customStyle="1">
    <w:name w:val="AMIA Body Text"/>
    <w:basedOn w:val="Normal"/>
    <w:rsid w:val="003D6A8F"/>
    <w:pPr>
      <w:widowControl/>
      <w:suppressAutoHyphens/>
      <w:spacing w:after="120"/>
      <w:jc w:val="both"/>
    </w:pPr>
  </w:style>
  <w:style w:type="paragraph" w:styleId="Header">
    <w:name w:val="header"/>
    <w:basedOn w:val="Normal"/>
    <w:link w:val="HeaderChar"/>
    <w:uiPriority w:val="99"/>
    <w:semiHidden/>
    <w:unhideWhenUsed/>
    <w:rsid w:val="00B66C0F"/>
    <w:pPr>
      <w:tabs>
        <w:tab w:val="center" w:pos="4680"/>
        <w:tab w:val="right" w:pos="9360"/>
      </w:tabs>
    </w:pPr>
  </w:style>
  <w:style w:type="character" w:styleId="HeaderChar" w:customStyle="1">
    <w:name w:val="Header Char"/>
    <w:basedOn w:val="DefaultParagraphFont"/>
    <w:link w:val="Header"/>
    <w:uiPriority w:val="99"/>
    <w:semiHidden/>
    <w:rsid w:val="00B66C0F"/>
  </w:style>
  <w:style w:type="paragraph" w:styleId="Footer">
    <w:name w:val="footer"/>
    <w:basedOn w:val="Normal"/>
    <w:link w:val="FooterChar"/>
    <w:uiPriority w:val="99"/>
    <w:semiHidden/>
    <w:unhideWhenUsed/>
    <w:rsid w:val="00B66C0F"/>
    <w:pPr>
      <w:tabs>
        <w:tab w:val="center" w:pos="4680"/>
        <w:tab w:val="right" w:pos="9360"/>
      </w:tabs>
    </w:pPr>
  </w:style>
  <w:style w:type="character" w:styleId="FooterChar" w:customStyle="1">
    <w:name w:val="Footer Char"/>
    <w:basedOn w:val="DefaultParagraphFont"/>
    <w:link w:val="Footer"/>
    <w:uiPriority w:val="99"/>
    <w:semiHidden/>
    <w:rsid w:val="00B66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Evan Sholle</dc:creator>
  <keywords/>
  <lastModifiedBy>Merlin Santano Simoes</lastModifiedBy>
  <revision>28</revision>
  <dcterms:created xsi:type="dcterms:W3CDTF">2025-09-03T18:22:00.0000000Z</dcterms:created>
  <dcterms:modified xsi:type="dcterms:W3CDTF">2025-09-16T16:38:02.3841971Z</dcterms:modified>
</coreProperties>
</file>