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9753B" w14:textId="77777777" w:rsidR="00F12885" w:rsidRPr="00ED04E4" w:rsidRDefault="00F12885" w:rsidP="00F12885">
      <w:pPr>
        <w:spacing w:line="240" w:lineRule="auto"/>
        <w:jc w:val="center"/>
        <w:rPr>
          <w:rFonts w:ascii="Arial" w:eastAsia="Arial" w:hAnsi="Arial" w:cs="Arial"/>
        </w:rPr>
      </w:pPr>
      <w:r w:rsidRPr="00ED04E4">
        <w:rPr>
          <w:rFonts w:ascii="Arial" w:eastAsia="Arial" w:hAnsi="Arial" w:cs="Arial"/>
          <w:b/>
          <w:color w:val="000000"/>
        </w:rPr>
        <w:t>Cardiovascular</w:t>
      </w:r>
      <w:r>
        <w:rPr>
          <w:rFonts w:ascii="Arial" w:eastAsia="Arial" w:hAnsi="Arial" w:cs="Arial"/>
          <w:b/>
          <w:color w:val="000000"/>
        </w:rPr>
        <w:t xml:space="preserve"> and</w:t>
      </w:r>
      <w:r w:rsidRPr="00ED04E4">
        <w:rPr>
          <w:rFonts w:ascii="Arial" w:eastAsia="Arial" w:hAnsi="Arial" w:cs="Arial"/>
          <w:b/>
          <w:color w:val="000000"/>
        </w:rPr>
        <w:t xml:space="preserve"> Kidney Outcomes of GLP-1 Receptor Agonists </w:t>
      </w:r>
      <w:sdt>
        <w:sdtPr>
          <w:rPr>
            <w:rFonts w:ascii="Arial" w:hAnsi="Arial" w:cs="Arial"/>
          </w:rPr>
          <w:tag w:val="goog_rdk_2"/>
          <w:id w:val="1386612582"/>
        </w:sdtPr>
        <w:sdtContent/>
      </w:sdt>
      <w:r w:rsidRPr="00ED04E4">
        <w:rPr>
          <w:rFonts w:ascii="Arial" w:eastAsia="Arial" w:hAnsi="Arial" w:cs="Arial"/>
          <w:b/>
          <w:color w:val="000000"/>
        </w:rPr>
        <w:t>in Adults with Obesity: A Target Trial Emulation Study</w:t>
      </w:r>
    </w:p>
    <w:p w14:paraId="0BA33AD1" w14:textId="77777777" w:rsidR="00F12885" w:rsidRPr="00ED04E4" w:rsidRDefault="00F12885" w:rsidP="00F12885">
      <w:pPr>
        <w:spacing w:line="240" w:lineRule="auto"/>
        <w:rPr>
          <w:rFonts w:ascii="Arial" w:hAnsi="Arial" w:cs="Arial"/>
          <w:color w:val="000000"/>
          <w:vertAlign w:val="superscript"/>
        </w:rPr>
      </w:pPr>
      <w:r w:rsidRPr="00ED04E4">
        <w:rPr>
          <w:rFonts w:ascii="Arial" w:hAnsi="Arial" w:cs="Arial"/>
          <w:color w:val="000000"/>
        </w:rPr>
        <w:t>Huilin Tang, PhD, MS</w:t>
      </w:r>
      <w:r w:rsidRPr="00ED04E4">
        <w:rPr>
          <w:rFonts w:ascii="Arial" w:hAnsi="Arial" w:cs="Arial"/>
          <w:color w:val="000000"/>
          <w:vertAlign w:val="superscript"/>
        </w:rPr>
        <w:t>1,2</w:t>
      </w:r>
      <w:r w:rsidRPr="00ED04E4">
        <w:rPr>
          <w:rFonts w:ascii="Arial" w:hAnsi="Arial" w:cs="Arial"/>
          <w:color w:val="000000"/>
        </w:rPr>
        <w:t>, Yiwen Lu, BS</w:t>
      </w:r>
      <w:r w:rsidRPr="00ED04E4">
        <w:rPr>
          <w:rFonts w:ascii="Arial" w:hAnsi="Arial" w:cs="Arial"/>
          <w:color w:val="000000"/>
          <w:vertAlign w:val="superscript"/>
        </w:rPr>
        <w:t>1,3</w:t>
      </w:r>
      <w:r w:rsidRPr="00ED04E4">
        <w:rPr>
          <w:rFonts w:ascii="Arial" w:hAnsi="Arial" w:cs="Arial"/>
          <w:color w:val="000000"/>
        </w:rPr>
        <w:t>, </w:t>
      </w:r>
      <w:proofErr w:type="spellStart"/>
      <w:r w:rsidRPr="00ED04E4">
        <w:rPr>
          <w:rFonts w:ascii="Arial" w:hAnsi="Arial" w:cs="Arial"/>
          <w:color w:val="000000"/>
        </w:rPr>
        <w:t>Bingyu</w:t>
      </w:r>
      <w:proofErr w:type="spellEnd"/>
      <w:r w:rsidRPr="00ED04E4">
        <w:rPr>
          <w:rFonts w:ascii="Arial" w:hAnsi="Arial" w:cs="Arial"/>
          <w:color w:val="000000"/>
        </w:rPr>
        <w:t xml:space="preserve"> Zhang, MS</w:t>
      </w:r>
      <w:r w:rsidRPr="00ED04E4">
        <w:rPr>
          <w:rFonts w:ascii="Arial" w:hAnsi="Arial" w:cs="Arial"/>
          <w:color w:val="000000"/>
          <w:vertAlign w:val="superscript"/>
        </w:rPr>
        <w:t>1,3</w:t>
      </w:r>
      <w:r w:rsidRPr="00ED04E4">
        <w:rPr>
          <w:rFonts w:ascii="Arial" w:hAnsi="Arial" w:cs="Arial"/>
          <w:color w:val="000000"/>
        </w:rPr>
        <w:t>, Ting Zhou, MD, PhD</w:t>
      </w:r>
      <w:r w:rsidRPr="00ED04E4">
        <w:rPr>
          <w:rFonts w:ascii="Arial" w:hAnsi="Arial" w:cs="Arial"/>
          <w:color w:val="000000"/>
          <w:vertAlign w:val="superscript"/>
        </w:rPr>
        <w:t>1,2</w:t>
      </w:r>
      <w:r w:rsidRPr="00ED04E4">
        <w:rPr>
          <w:rFonts w:ascii="Arial" w:hAnsi="Arial" w:cs="Arial"/>
          <w:color w:val="000000"/>
        </w:rPr>
        <w:t xml:space="preserve">, </w:t>
      </w:r>
      <w:proofErr w:type="spellStart"/>
      <w:r w:rsidRPr="00ED04E4">
        <w:rPr>
          <w:rFonts w:ascii="Arial" w:hAnsi="Arial" w:cs="Arial"/>
          <w:color w:val="000000"/>
        </w:rPr>
        <w:t>Dazheng</w:t>
      </w:r>
      <w:proofErr w:type="spellEnd"/>
      <w:r w:rsidRPr="00ED04E4">
        <w:rPr>
          <w:rFonts w:ascii="Arial" w:hAnsi="Arial" w:cs="Arial"/>
          <w:color w:val="000000"/>
        </w:rPr>
        <w:t xml:space="preserve"> Zhang, PhD</w:t>
      </w:r>
      <w:r w:rsidRPr="00ED04E4">
        <w:rPr>
          <w:rFonts w:ascii="Arial" w:hAnsi="Arial" w:cs="Arial"/>
          <w:color w:val="000000"/>
          <w:vertAlign w:val="superscript"/>
        </w:rPr>
        <w:t>1,2</w:t>
      </w:r>
      <w:r w:rsidRPr="00ED04E4">
        <w:rPr>
          <w:rFonts w:ascii="Arial" w:hAnsi="Arial" w:cs="Arial"/>
          <w:color w:val="000000"/>
        </w:rPr>
        <w:t xml:space="preserve">, </w:t>
      </w:r>
      <w:proofErr w:type="spellStart"/>
      <w:r w:rsidRPr="00ED04E4">
        <w:rPr>
          <w:rFonts w:ascii="Arial" w:hAnsi="Arial" w:cs="Arial"/>
          <w:color w:val="000000"/>
        </w:rPr>
        <w:t>Jiajie</w:t>
      </w:r>
      <w:proofErr w:type="spellEnd"/>
      <w:r w:rsidRPr="00ED04E4">
        <w:rPr>
          <w:rFonts w:ascii="Arial" w:hAnsi="Arial" w:cs="Arial"/>
          <w:color w:val="000000"/>
        </w:rPr>
        <w:t xml:space="preserve"> Chen, PhD</w:t>
      </w:r>
      <w:r w:rsidRPr="00ED04E4">
        <w:rPr>
          <w:rFonts w:ascii="Arial" w:hAnsi="Arial" w:cs="Arial"/>
          <w:color w:val="000000"/>
          <w:vertAlign w:val="superscript"/>
        </w:rPr>
        <w:t>1,2</w:t>
      </w:r>
      <w:r w:rsidRPr="00ED04E4">
        <w:rPr>
          <w:rFonts w:ascii="Arial" w:hAnsi="Arial" w:cs="Arial"/>
          <w:color w:val="000000"/>
        </w:rPr>
        <w:t>, Yong Chen, PhD</w:t>
      </w:r>
      <w:r w:rsidRPr="00ED04E4">
        <w:rPr>
          <w:rFonts w:ascii="Arial" w:hAnsi="Arial" w:cs="Arial"/>
          <w:color w:val="000000"/>
          <w:vertAlign w:val="superscript"/>
        </w:rPr>
        <w:t>4</w:t>
      </w:r>
      <w:r w:rsidRPr="00ED04E4">
        <w:rPr>
          <w:rFonts w:ascii="Arial" w:hAnsi="Arial" w:cs="Arial"/>
          <w:color w:val="000000"/>
        </w:rPr>
        <w:t>, David A. Asch, MD, MBA</w:t>
      </w:r>
      <w:r w:rsidRPr="00ED04E4">
        <w:rPr>
          <w:rFonts w:ascii="Arial" w:hAnsi="Arial" w:cs="Arial"/>
          <w:color w:val="000000"/>
          <w:vertAlign w:val="superscript"/>
        </w:rPr>
        <w:t>5-7</w:t>
      </w:r>
      <w:r w:rsidRPr="00ED04E4">
        <w:rPr>
          <w:rFonts w:ascii="Arial" w:hAnsi="Arial" w:cs="Arial"/>
          <w:color w:val="000000"/>
        </w:rPr>
        <w:t>, Yong Chen, PhD</w:t>
      </w:r>
      <w:r w:rsidRPr="00ED04E4">
        <w:rPr>
          <w:rFonts w:ascii="Arial" w:hAnsi="Arial" w:cs="Arial"/>
          <w:color w:val="000000"/>
          <w:vertAlign w:val="superscript"/>
        </w:rPr>
        <w:t>1-3,8-9</w:t>
      </w:r>
    </w:p>
    <w:p w14:paraId="10142A5D"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The Center for Health AI and Synthesis of Evidence (CHASE), University of Pennsylvania, Philadelphia, PA, USA</w:t>
      </w:r>
    </w:p>
    <w:p w14:paraId="70A9DB5E"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Department of Biostatistics, Epidemiology, and Informatics, University of Pennsylvania Perelman School of Medicine, Philadelphia, PA, USA</w:t>
      </w:r>
    </w:p>
    <w:p w14:paraId="3F519E15"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The Graduate Group in Applied Mathematics and Computational Science, School of Arts and Sciences, University of Pennsylvania, Philadelphia, PA, USA</w:t>
      </w:r>
    </w:p>
    <w:p w14:paraId="392A6BEA"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Pfizer Inc., New York City, NY, USA</w:t>
      </w:r>
    </w:p>
    <w:p w14:paraId="2B7AB325"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Leonard Davis Institute of Health Economics, University of Pennsylvania, Philadelphia, PA, USA</w:t>
      </w:r>
    </w:p>
    <w:p w14:paraId="1D3762B1"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color w:val="3F3F3F"/>
        </w:rPr>
        <w:t>Wharton School, University of Pennsylvania, Philadelphia, PA, USA</w:t>
      </w:r>
    </w:p>
    <w:p w14:paraId="70D1E861"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Division of General Internal Medicine, Department of Medicine, Perelman School of Medicine, University of Pennsylvania, Philadelphia, PA, USA</w:t>
      </w:r>
    </w:p>
    <w:p w14:paraId="3FCCC767"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Penn Medicine Center for Evidence-based Practice (CEP), University of Pennsylvania, Philadelphia, PA, USA</w:t>
      </w:r>
    </w:p>
    <w:p w14:paraId="2E0A7F21" w14:textId="77777777" w:rsidR="00F12885" w:rsidRPr="00ED04E4" w:rsidRDefault="00F12885" w:rsidP="00F12885">
      <w:pPr>
        <w:pStyle w:val="ListParagraph"/>
        <w:numPr>
          <w:ilvl w:val="0"/>
          <w:numId w:val="1"/>
        </w:numPr>
        <w:spacing w:after="120" w:line="240" w:lineRule="auto"/>
        <w:rPr>
          <w:rFonts w:ascii="Arial" w:hAnsi="Arial" w:cs="Arial"/>
        </w:rPr>
      </w:pPr>
      <w:r w:rsidRPr="00ED04E4">
        <w:rPr>
          <w:rFonts w:ascii="Arial" w:hAnsi="Arial" w:cs="Arial"/>
        </w:rPr>
        <w:t>Penn Institute for Biomedical Informatics (IBI), University of Pennsylvania, Philadelphia, PA, USA</w:t>
      </w:r>
    </w:p>
    <w:p w14:paraId="6CE8F9F1" w14:textId="77777777" w:rsidR="00F12885" w:rsidRPr="000B4CD8" w:rsidRDefault="00F12885">
      <w:pPr>
        <w:rPr>
          <w:rFonts w:ascii="Arial" w:hAnsi="Arial" w:cs="Arial"/>
        </w:rPr>
      </w:pPr>
    </w:p>
    <w:p w14:paraId="59818494" w14:textId="77777777" w:rsidR="000B4CD8" w:rsidRPr="000B4CD8" w:rsidRDefault="000B4CD8" w:rsidP="000B4CD8">
      <w:pPr>
        <w:pStyle w:val="NormalWeb"/>
        <w:rPr>
          <w:rFonts w:ascii="Arial" w:hAnsi="Arial" w:cs="Arial"/>
          <w:b/>
          <w:bCs/>
        </w:rPr>
      </w:pPr>
      <w:r w:rsidRPr="000B4CD8">
        <w:rPr>
          <w:rFonts w:ascii="Arial" w:hAnsi="Arial" w:cs="Arial"/>
          <w:b/>
          <w:bCs/>
        </w:rPr>
        <w:t>Background</w:t>
      </w:r>
    </w:p>
    <w:p w14:paraId="38CC5854" w14:textId="7A6AD98C" w:rsidR="000B4CD8" w:rsidRPr="000B4CD8" w:rsidRDefault="000B4CD8" w:rsidP="000B4CD8">
      <w:pPr>
        <w:pStyle w:val="NormalWeb"/>
        <w:rPr>
          <w:rFonts w:ascii="Arial" w:hAnsi="Arial" w:cs="Arial"/>
        </w:rPr>
      </w:pPr>
      <w:r w:rsidRPr="000B4CD8">
        <w:rPr>
          <w:rFonts w:ascii="Arial" w:hAnsi="Arial" w:cs="Arial"/>
        </w:rPr>
        <w:t>Obesity is a growing global health issue, affecting over 890 million adults and contributing to type 2 diabetes (T2D), cardiovascular disease (CVD), chronic kidney disease (CKD), and mental health disorders</w:t>
      </w:r>
      <w:r w:rsidR="00392EE1" w:rsidRPr="00ED04E4">
        <w:rPr>
          <w:rFonts w:ascii="Arial" w:hAnsi="Arial" w:cs="Arial"/>
        </w:rPr>
        <w:fldChar w:fldCharType="begin"/>
      </w:r>
      <w:r w:rsidR="00E6002F">
        <w:rPr>
          <w:rFonts w:ascii="Arial" w:hAnsi="Arial" w:cs="Arial"/>
        </w:rPr>
        <w:instrText xml:space="preserve"> ADDIN ZOTERO_ITEM CSL_CITATION {"citationID":"CJ7LsVl6","properties":{"formattedCitation":"\\super 1\\uc0\\u8211{}4\\nosupersub{}","plainCitation":"1–4","noteIndex":0},"citationItems":[{"id":2312,"uris":["http://zotero.org/users/10807406/items/AT6TH5S6"],"itemData":{"id":2312,"type":"webpage","abstract":"Obesity and overweight fact sheet from WHO providing key facts and information on causes, health consequences, double burden of disease, prevention, WHO response.","language":"en","title":"Obesity and overweight","URL":"https://www.who.int/news-room/fact-sheets/detail/obesity-and-overweight","author":[{"literal":"World Health Organization"}],"accessed":{"date-parts":[["2025",2,21]]},"issued":{"date-parts":[["2025"]]}}},{"id":2330,"uris":["http://zotero.org/users/10807406/items/Y4QU2X7V"],"itemData":{"id":2330,"type":"article-journal","abstract":"The global obesity epidemic is well established, with increases in obesity prevalence for most countries since the 1980s. Obesity contributes directly to incident cardiovascular risk factors, including dyslipidemia, type 2 diabetes, hypertension, and sleep disorders. Obesity also leads to the development of cardiovascular disease and cardiovascular disease mortality independently of other cardiovascular risk factors. More recent data highlight abdominal obesity, as determined by waist circumference, as a cardiovascular disease risk marker that is independent of body mass index. There have also been significant advances in imaging modalities for characterizing body composition, including visceral adiposity. Studies that quantify fat depots, including ectopic fat, support excess visceral adiposity as an independent indicator of poor cardiovascular outcomes. Lifestyle modification and subsequent weight loss improve both metabolic syndrome and associated systemic inflammation and endothelial dysfunction. However, clinical trials of medical weight loss have not demonstrated a reduction in coronary artery disease rates. In contrast, prospective studies comparing patients undergoing bariatric surgery with nonsurgical patients with obesity have shown reduced coronary artery disease risk with surgery. In this statement, we summarize the impact of obesity on the diagnosis, clinical management, and outcomes of atherosclerotic cardiovascular disease, heart failure, and arrhythmias, especially sudden cardiac death and atrial fibrillation. In particular, we examine the influence of obesity on noninvasive and invasive diagnostic procedures for coronary artery disease. Moreover, we review the impact of obesity on cardiac function and outcomes related to heart failure with reduced and preserved ejection fraction. Finally, we describe the effects of lifestyle and surgical weight loss interventions on outcomes related to coronary artery disease, heart failure, and atrial fibrillation.","container-title":"Circulation","DOI":"10.1161/CIR.0000000000000973","issue":"21","note":"publisher: American Heart Association","page":"e984-e1010","source":"ahajournals.org (Atypon)","title":"Obesity and Cardiovascular Disease: A Scientific Statement From the American Heart Association","title-short":"Obesity and Cardiovascular Disease","volume":"143","author":[{"family":"Powell-Wiley","given":"Tiffany M."},{"family":"Poirier","given":"Paul"},{"family":"Burke","given":"Lora E."},{"family":"Després","given":"Jean-Pierre"},{"family":"Gordon-Larsen","given":"Penny"},{"family":"Lavie","given":"Carl J."},{"family":"Lear","given":"Scott A."},{"family":"Ndumele","given":"Chiadi E."},{"family":"Neeland","given":"Ian J."},{"family":"Sanders","given":"Prashanthan"},{"family":"St-Onge","given":"Marie-Pierre"},{"literal":"On behalf of the American Heart Association Council on Lifestyle and Cardiometabolic Health; Council on Cardiovascular and Stroke Nursing; Council on Clinical Cardiology; Council on Epidemiology and Prevention; and Stroke Council"}],"issued":{"date-parts":[["2021",5,25]]}}},{"id":3917,"uris":["http://zotero.org/users/10807406/items/HMRD9SKP"],"itemData":{"id":3917,"type":"article-journal","abstract":"Overweight adults are at an increased risk of developing numerous chronic diseases.Ten-year follow-up (1986-1996) of middle-aged women in the Nurses' Health Study and men in the Health Professionals Follow-up Study to assess the health risks associated with overweight.The risk of developing diabetes, gallstones, hypertension, heart disease, and stroke increased with severity of overweight among both women and men. Compared with their same-sex peers with a body mass index (BMI) (calculated as weight in kilograms divided by the square of height in meters) between 18.5 and 24.9, those with BMI of 35.0 or more were approximately 20 times more likely to develop diabetes (relative risk [RR], 17.0; 95% confidence interval [CI], 14.2-20.5 for women; RR, 23.4; 95% CI, 19.4-33.2 for men). Women who were overweight but not obese (ie, BMI between 25.0 and 29.9) were also significantly more likely than their leaner peers to develop gallstones (RR, 1.9), hypertension (RR, 1.7), high cholesterol level (RR, 1.1), and heart disease (RR, 1.4). The results were similar in men.During 10 years of follow-up, the incidence of diabetes, gallstones, hypertension, heart disease, colon cancer, and stroke (men only) increased with degree of overweight in both men and women. Adults who were overweight but not obese (ie, 25.0≤BMI≤29.9) were at significantly increased risk of developing numerous health conditions. Moreover, the dose-response relationship between BMI and the risk of developing chronic diseases was evident even among adults in the upper half of the healthy weight range (ie, BMI of 22.0-24.9), suggesting that adults should try to maintain a BMI between 18.5 and 21.9 to minimize their risk of disease.Arch Intern Med. 2001;161:1581-1586--&gt;","container-title":"Archives of Internal Medicine","DOI":"10.1001/archinte.161.13.1581","ISSN":"0003-9926","issue":"13","journalAbbreviation":"Archives of Internal Medicine","page":"1581-1586","source":"Silverchair","title":"Impact of Overweight on the Risk of Developing Common Chronic Diseases During a 10-Year Period","volume":"161","author":[{"family":"Field","given":"Alison E."},{"family":"Coakley","given":"Eugenie H."},{"family":"Must","given":"Aviva"},{"family":"Spadano","given":"Jennifer L."},{"family":"Laird","given":"Nan"},{"family":"Dietz","given":"William H."},{"family":"Rimm","given":"Eric"},{"family":"Colditz","given":"Graham A."}],"issued":{"date-parts":[["2001",7,9]]}}},{"id":3916,"uris":["http://zotero.org/users/10807406/items/X4N7Y2ZA"],"itemData":{"id":3916,"type":"article-journal","container-title":"The Lancet Diabetes &amp; Endocrinology","DOI":"10.1016/S2213-8587(22)00033-X","ISSN":"2213-8587, 2213-8595","issue":"4","journalAbbreviation":"The Lancet Diabetes &amp; Endocrinology","language":"English","note":"publisher: Elsevier\nPMID: 35248171","page":"253-263","source":"www.thelancet.com","title":"Body-mass index and risk of obesity-related complex multimorbidity: an observational multicohort study","title-short":"Body-mass index and risk of obesity-related complex multimorbidity","volume":"10","author":[{"family":"Kivimäki","given":"Mika"},{"family":"Strandberg","given":"Timo"},{"family":"Pentti","given":"Jaana"},{"family":"Nyberg","given":"Solja T."},{"family":"Frank","given":"Philipp"},{"family":"Jokela","given":"Markus"},{"family":"Ervasti","given":"Jenni"},{"family":"Suominen","given":"Sakari B."},{"family":"Vahtera","given":"Jussi"},{"family":"Sipilä","given":"Pyry N."},{"family":"Lindbohm","given":"Joni V."},{"family":"Ferrie","given":"Jane E."}],"issued":{"date-parts":[["2022",4,1]]}}}],"schema":"https://github.com/citation-style-language/schema/raw/master/csl-citation.json"} </w:instrText>
      </w:r>
      <w:r w:rsidR="00392EE1" w:rsidRPr="00ED04E4">
        <w:rPr>
          <w:rFonts w:ascii="Arial" w:hAnsi="Arial" w:cs="Arial"/>
        </w:rPr>
        <w:fldChar w:fldCharType="separate"/>
      </w:r>
      <w:r w:rsidR="00E6002F" w:rsidRPr="00E6002F">
        <w:rPr>
          <w:rFonts w:ascii="Arial" w:hAnsi="Arial" w:cs="Arial"/>
          <w:vertAlign w:val="superscript"/>
        </w:rPr>
        <w:t>1–4</w:t>
      </w:r>
      <w:r w:rsidR="00392EE1" w:rsidRPr="00ED04E4">
        <w:rPr>
          <w:rFonts w:ascii="Arial" w:hAnsi="Arial" w:cs="Arial"/>
        </w:rPr>
        <w:fldChar w:fldCharType="end"/>
      </w:r>
      <w:r w:rsidRPr="000B4CD8">
        <w:rPr>
          <w:rFonts w:ascii="Arial" w:hAnsi="Arial" w:cs="Arial"/>
        </w:rPr>
        <w:t>. Glucagon-like peptide-1 receptor agonists (GLP-1RAs) have shown promise in obesity treatment by promoting weight loss via appetite suppression and delayed gastric emptying</w:t>
      </w:r>
      <w:r w:rsidR="00392EE1" w:rsidRPr="00ED04E4">
        <w:rPr>
          <w:rFonts w:ascii="Arial" w:hAnsi="Arial" w:cs="Arial"/>
        </w:rPr>
        <w:fldChar w:fldCharType="begin"/>
      </w:r>
      <w:r w:rsidR="00E6002F">
        <w:rPr>
          <w:rFonts w:ascii="Arial" w:hAnsi="Arial" w:cs="Arial"/>
        </w:rPr>
        <w:instrText xml:space="preserve"> ADDIN ZOTERO_ITEM CSL_CITATION {"citationID":"6rYw4eb6","properties":{"formattedCitation":"\\super 5\\uc0\\u8211{}7\\nosupersub{}","plainCitation":"5–7","noteIndex":0},"citationItems":[{"id":2321,"uris":["http://zotero.org/users/10807406/items/TCHPI89N"],"itemData":{"id":2321,"type":"article-journal","abstract":"BACKGROUND: Obesity is a global health challenge with few pharmacologic options. Whether adults with obesity can achieve weight loss with once-weekly semaglutide at a dose of 2.4 mg as an adjunct to lifestyle intervention has not been confirmed.\nMETHODS: In this double-blind trial, we enrolled 1961 adults with a body-mass index (the weight in kilograms divided by the square of the height in meters) of 30 or greater (≥27 in persons with ≥1 weight-related coexisting condition), who did not have diabetes, and randomly assigned them, in a 2:1 ratio, to 68 weeks of treatment with once-weekly subcutaneous semaglutide (at a dose of 2.4 mg) or placebo, plus lifestyle intervention. The coprimary end points were the percentage change in body weight and weight reduction of at least 5%. The primary estimand (a precise description of the treatment effect reflecting the objective of the clinical trial) assessed effects regardless of treatment discontinuation or rescue interventions.\nRESULTS: The mean change in body weight from baseline to week 68 was -14.9% in the semaglutide group as compared with -2.4% with placebo, for an estimated treatment difference of -12.4 percentage points (95% confidence interval [CI], -13.4 to -11.5; P&lt;0.001). More participants in the semaglutide group than in the placebo group achieved weight reductions of 5% or more (1047 participants [86.4%] vs. 182 [31.5%]), 10% or more (838 [69.1%] vs. 69 [12.0%]), and 15% or more (612 [50.5%] vs. 28 [4.9%]) at week 68 (P&lt;0.001 for all three comparisons of odds). The change in body weight from baseline to week 68 was -15.3 kg in the semaglutide group as compared with -2.6 kg in the placebo group (estimated treatment difference, -12.7 kg; 95% CI, -13.7 to -11.7). Participants who received semaglutide had a greater improvement with respect to cardiometabolic risk factors and a greater increase in participant-reported physical functioning from baseline than those who received placebo. Nausea and diarrhea were the most common adverse events with semaglutide; they were typically transient and mild-to-moderate in severity and subsided with time. More participants in the semaglutide group than in the placebo group discontinued treatment owing to gastrointestinal events (59 [4.5%] vs. 5 [0.8%]).\nCONCLUSIONS: In participants with overweight or obesity, 2.4 mg of semaglutide once weekly plus lifestyle intervention was associated with sustained, clinically relevant reduction in body weight. (Funded by Novo Nordisk; STEP 1 ClinicalTrials.gov number, NCT03548935).","container-title":"The New England Journal of Medicine","DOI":"10.1056/NEJMoa2032183","ISSN":"1533-4406","issue":"11","journalAbbreviation":"N Engl J Med","language":"eng","note":"PMID: 33567185","page":"989-1002","source":"PubMed","title":"Once-Weekly Semaglutide in Adults with Overweight or Obesity","volume":"384","author":[{"family":"Wilding","given":"John P. H."},{"family":"Batterham","given":"Rachel L."},{"family":"Calanna","given":"Salvatore"},{"family":"Davies","given":"Melanie"},{"family":"Van Gaal","given":"Luc F."},{"family":"Lingvay","given":"Ildiko"},{"family":"McGowan","given":"Barbara M."},{"family":"Rosenstock","given":"Julio"},{"family":"Tran","given":"Marie T. D."},{"family":"Wadden","given":"Thomas A."},{"family":"Wharton","given":"Sean"},{"family":"Yokote","given":"Koutaro"},{"family":"Zeuthen","given":"Niels"},{"family":"Kushner","given":"Robert F."},{"literal":"STEP 1 Study Group"}],"issued":{"date-parts":[["2021",3,18]]}}},{"id":2320,"uris":["http://zotero.org/users/10807406/items/L8BTIUUU"],"itemData":{"id":2320,"type":"article-journal","abstract":"BACKGROUND: Obesity is chronic disease and causal precursor to myriad other conditions, including type 2 diabetes. In an earlier analysis of the SURMOUNT-1 trial, tirzepatide was shown to provide substantial and sustained reductions in body weight in persons with obesity over a 72-week period. Here, we report the 3-year safety outcomes with tirzepatide and its efficacy in reducing weight and delaying progression to type 2 diabetes in persons with both obesity and prediabetes.\nMETHODS: We performed a phase 3, double-blind, randomized, controlled trial in which 2539 participants with obesity, of whom 1032 also had prediabetes, were assigned in a 1:1:1:1 ratio to receive tirzepatide at a once-weekly dose of 5 mg, 10 mg, or 15 mg or placebo. The current analysis involved the participants with both obesity and prediabetes, who received their assigned dose of tirzepatide or placebo for a total of 176 weeks, followed by a 17-week off-treatment period. The three key secondary end points, which were controlled for type I error, were the percent change in body weight from baseline to week 176 and onset of type 2 diabetes during the 176-week and 193-week periods.\nRESULTS: At 176 weeks, the mean percent change in body weight among the participants who received tirzepatide was -12.3% with the 5-mg dose, -18.7% with the 10-mg dose, and -19.7% with the 15-mg dose, as compared with -1.3% among those who received placebo (P&lt;0.001 for all comparisons with placebo). Fewer participants received a diagnosis of type 2 diabetes in the tirzepatide groups than in the placebo group (1.3% vs. 13.3%; hazard ratio, 0.07; 95% confidence interval [CI], 0.0 to 0.1; P&lt;0.001). After 17 weeks off treatment or placebo, 2.4% of the participants who received tirzepatide and 13.7% of those who received placebo had type 2 diabetes (hazard ratio, 0.12; 95% CI, 0.1 to 0.2; P&lt;0.001). Other than coronavirus disease 2019, the most common adverse events were gastrointestinal, most of which were mild to moderate in severity and occurred primarily during the dose-escalation period in the first 20 weeks of the trial. No new safety signals were identified.\nCONCLUSIONS: Three years of treatment with tirzepatide in persons with obesity and prediabetes resulted in substantial and sustained weight reduction and a markedly lower risk of progression to type 2 diabetes than that with placebo. (Funded by Eli Lilly; SURMOUNT-1 ClinicalTrials.gov number, NCT04184622.).","container-title":"The New England Journal of Medicine","DOI":"10.1056/NEJMoa2410819","ISSN":"1533-4406","journalAbbreviation":"N Engl J Med","language":"eng","note":"PMID: 39536238","source":"PubMed","title":"Tirzepatide for Obesity Treatment and Diabetes Prevention","author":[{"family":"Jastreboff","given":"Ania M."},{"family":"Roux","given":"Carel W.","non-dropping-particle":"le"},{"family":"Stefanski","given":"Adam"},{"family":"Aronne","given":"Louis J."},{"family":"Halpern","given":"Bruno"},{"family":"Wharton","given":"Sean"},{"family":"Wilding","given":"John P. H."},{"family":"Perreault","given":"Leigh"},{"family":"Zhang","given":"Shuyu"},{"family":"Battula","given":"Ramakrishna"},{"family":"Bunck","given":"Mathijs C."},{"family":"Ahmad","given":"Nadia N."},{"family":"Jouravskaya","given":"Irina"},{"literal":"SURMOUNT-1 Investigators"}],"issued":{"date-parts":[["2024",11,13]]}}},{"id":2318,"uris":["http://zotero.org/users/10807406/items/Y6I9998R"],"itemData":{"id":2318,"type":"article-journal","abstract":"BACKGROUND: Weight reduction is essential for improving health outcomes in people with obesity and type 2 diabetes. We assessed the efficacy and safety of tirzepatide, a glucose-dependent insulinotropic polypeptide and glucagon-like peptide-1 receptor agonist, versus placebo, for weight management in people living with obesity and type 2 diabetes.\nMETHODS: This phase 3, double-blind, randomised, placebo-controlled trial was conducted in seven countries. Adults (aged ≥18 years) with a body-mass index (BMI) of 27 kg/m2 or higher and glycated haemoglobin (HbA1c) of 7-10% (53-86 mmol/mol) were randomly assigned (1:1:1), using a computer-generated random sequence via a validated interactive web-response system, to receive either once-weekly, subcutaneous tirzepatide (10 mg or 15 mg) or placebo for 72 weeks. All participants, investigators, and the sponsor were masked to treatment assignment. Coprimary endpoints were the percent change in bodyweight from baseline and bodyweight reduction of 5% or higher. The treatment-regimen estimand assessed effects regardless of treatment discontinuation or initiation of antihyperglycaemic rescue therapy. Efficacy and safety endpoints were analysed with data from all randomly assigned participants (intention-to-treat population). This trial is registered with ClinicalTrials.gov, NCT04657003.\nFINDINGS: Between March 29, 2021, and April 10, 2023, of 1514 adults assessed for eligibility, 938 (mean age 54·2 years [SD 10·6], 476 [51%] were female, 710 [76%] were White, and 561 [60%] were Hispanic or Latino) were randomly assigned and received at least one dose of tirzepatide 10 mg (n=312), tirzepatide 15 mg (n=311), or placebo (n=315). Baseline mean bodyweight was 100·7 kg (SD 21·1), BMI 36·1 kg/m2 (SD 6·6), and HbA1c 8·02% (SD 0·89; 64·1 mmol/mol [SD 9·7]). Least-squares mean change in bodyweight at week 72 with tirzepatide 10 mg and 15 mg was -12·8% (SE 0·6) and -14·7% (0·5), respectively, and -3·2% (0·5) with placebo, resulting in estimated treatment differences versus placebo of -9·6% percentage points (95% CI -11·1 to -8·1) with tirzepatide 10 mg and -11·6% percentage points (-13·0 to -10·1) with tirzepatide 15 mg (all p&lt;0·0001). More participants treated with tirzepatide versus placebo met bodyweight reduction thresholds of 5% or higher (79-83% vs 32%). The most frequent adverse events with tirzepatide were gastrointestinal-related, including nausea, diarrhoea, and vomiting and were mostly mild to moderate in severity, with few events leading to treatment discontinuation (&lt;5%). Serious adverse events were reported by 68 (7%) participants overall and two deaths occurred in the tirzepatide 10 mg group, but deaths were not considered to be related to the study treatment by the investigator.\nINTERPRETATION: In this 72-week trial in adults living with obesity and type 2 diabetes, once-weekly tirzepatide 10 mg and 15 mg provided substantial and clinically meaningful reduction in bodyweight, with a safety profile that was similar to other incretin-based therapies for weight management.\nFUNDING: Eli Lilly and Company.","container-title":"Lancet (London, England)","DOI":"10.1016/S0140-6736(23)01200-X","ISSN":"1474-547X","issue":"10402","journalAbbreviation":"Lancet","language":"eng","note":"PMID: 37385275","page":"613-626","source":"PubMed","title":"Tirzepatide once weekly for the treatment of obesity in people with type 2 diabetes (SURMOUNT-2): a double-blind, randomised, multicentre, placebo-controlled, phase 3 trial","title-short":"Tirzepatide once weekly for the treatment of obesity in people with type 2 diabetes (SURMOUNT-2)","volume":"402","author":[{"family":"Garvey","given":"W. Timothy"},{"family":"Frias","given":"Juan P."},{"family":"Jastreboff","given":"Ania M."},{"family":"Roux","given":"Carel W.","non-dropping-particle":"le"},{"family":"Sattar","given":"Naveed"},{"family":"Aizenberg","given":"Diego"},{"family":"Mao","given":"Huzhang"},{"family":"Zhang","given":"Shuyu"},{"family":"Ahmad","given":"Nadia N."},{"family":"Bunck","given":"Mathijs C."},{"family":"Benabbad","given":"Imane"},{"family":"Zhang","given":"Xiaotian M."},{"literal":"SURMOUNT-2 investigators"}],"issued":{"date-parts":[["2023",8,19]]}}}],"schema":"https://github.com/citation-style-language/schema/raw/master/csl-citation.json"} </w:instrText>
      </w:r>
      <w:r w:rsidR="00392EE1" w:rsidRPr="00ED04E4">
        <w:rPr>
          <w:rFonts w:ascii="Arial" w:hAnsi="Arial" w:cs="Arial"/>
        </w:rPr>
        <w:fldChar w:fldCharType="separate"/>
      </w:r>
      <w:r w:rsidR="00E6002F" w:rsidRPr="00E6002F">
        <w:rPr>
          <w:rFonts w:ascii="Arial" w:hAnsi="Arial" w:cs="Arial"/>
          <w:vertAlign w:val="superscript"/>
        </w:rPr>
        <w:t>5–7</w:t>
      </w:r>
      <w:r w:rsidR="00392EE1" w:rsidRPr="00ED04E4">
        <w:rPr>
          <w:rFonts w:ascii="Arial" w:hAnsi="Arial" w:cs="Arial"/>
        </w:rPr>
        <w:fldChar w:fldCharType="end"/>
      </w:r>
      <w:r w:rsidRPr="000B4CD8">
        <w:rPr>
          <w:rFonts w:ascii="Arial" w:hAnsi="Arial" w:cs="Arial"/>
        </w:rPr>
        <w:t>. Beyond weight control, GLP-1RAs have demonstrated cardiovascular and renal benefits in T2D, leading to their widespread use. However, their long-term effectiveness and safety in people with obesity without diabetes remain unclear, as most studies focus on short-term outcomes</w:t>
      </w:r>
      <w:r w:rsidR="00392EE1" w:rsidRPr="00ED04E4">
        <w:rPr>
          <w:rFonts w:ascii="Arial" w:hAnsi="Arial" w:cs="Arial"/>
        </w:rPr>
        <w:fldChar w:fldCharType="begin"/>
      </w:r>
      <w:r w:rsidR="00E6002F">
        <w:rPr>
          <w:rFonts w:ascii="Arial" w:hAnsi="Arial" w:cs="Arial"/>
        </w:rPr>
        <w:instrText xml:space="preserve"> ADDIN ZOTERO_ITEM CSL_CITATION {"citationID":"iyZ7Iuf5","properties":{"formattedCitation":"\\super 5\\uc0\\u8211{}7\\nosupersub{}","plainCitation":"5–7","noteIndex":0},"citationItems":[{"id":2321,"uris":["http://zotero.org/users/10807406/items/TCHPI89N"],"itemData":{"id":2321,"type":"article-journal","abstract":"BACKGROUND: Obesity is a global health challenge with few pharmacologic options. Whether adults with obesity can achieve weight loss with once-weekly semaglutide at a dose of 2.4 mg as an adjunct to lifestyle intervention has not been confirmed.\nMETHODS: In this double-blind trial, we enrolled 1961 adults with a body-mass index (the weight in kilograms divided by the square of the height in meters) of 30 or greater (≥27 in persons with ≥1 weight-related coexisting condition), who did not have diabetes, and randomly assigned them, in a 2:1 ratio, to 68 weeks of treatment with once-weekly subcutaneous semaglutide (at a dose of 2.4 mg) or placebo, plus lifestyle intervention. The coprimary end points were the percentage change in body weight and weight reduction of at least 5%. The primary estimand (a precise description of the treatment effect reflecting the objective of the clinical trial) assessed effects regardless of treatment discontinuation or rescue interventions.\nRESULTS: The mean change in body weight from baseline to week 68 was -14.9% in the semaglutide group as compared with -2.4% with placebo, for an estimated treatment difference of -12.4 percentage points (95% confidence interval [CI], -13.4 to -11.5; P&lt;0.001). More participants in the semaglutide group than in the placebo group achieved weight reductions of 5% or more (1047 participants [86.4%] vs. 182 [31.5%]), 10% or more (838 [69.1%] vs. 69 [12.0%]), and 15% or more (612 [50.5%] vs. 28 [4.9%]) at week 68 (P&lt;0.001 for all three comparisons of odds). The change in body weight from baseline to week 68 was -15.3 kg in the semaglutide group as compared with -2.6 kg in the placebo group (estimated treatment difference, -12.7 kg; 95% CI, -13.7 to -11.7). Participants who received semaglutide had a greater improvement with respect to cardiometabolic risk factors and a greater increase in participant-reported physical functioning from baseline than those who received placebo. Nausea and diarrhea were the most common adverse events with semaglutide; they were typically transient and mild-to-moderate in severity and subsided with time. More participants in the semaglutide group than in the placebo group discontinued treatment owing to gastrointestinal events (59 [4.5%] vs. 5 [0.8%]).\nCONCLUSIONS: In participants with overweight or obesity, 2.4 mg of semaglutide once weekly plus lifestyle intervention was associated with sustained, clinically relevant reduction in body weight. (Funded by Novo Nordisk; STEP 1 ClinicalTrials.gov number, NCT03548935).","container-title":"The New England Journal of Medicine","DOI":"10.1056/NEJMoa2032183","ISSN":"1533-4406","issue":"11","journalAbbreviation":"N Engl J Med","language":"eng","note":"PMID: 33567185","page":"989-1002","source":"PubMed","title":"Once-Weekly Semaglutide in Adults with Overweight or Obesity","volume":"384","author":[{"family":"Wilding","given":"John P. H."},{"family":"Batterham","given":"Rachel L."},{"family":"Calanna","given":"Salvatore"},{"family":"Davies","given":"Melanie"},{"family":"Van Gaal","given":"Luc F."},{"family":"Lingvay","given":"Ildiko"},{"family":"McGowan","given":"Barbara M."},{"family":"Rosenstock","given":"Julio"},{"family":"Tran","given":"Marie T. D."},{"family":"Wadden","given":"Thomas A."},{"family":"Wharton","given":"Sean"},{"family":"Yokote","given":"Koutaro"},{"family":"Zeuthen","given":"Niels"},{"family":"Kushner","given":"Robert F."},{"literal":"STEP 1 Study Group"}],"issued":{"date-parts":[["2021",3,18]]}}},{"id":2320,"uris":["http://zotero.org/users/10807406/items/L8BTIUUU"],"itemData":{"id":2320,"type":"article-journal","abstract":"BACKGROUND: Obesity is chronic disease and causal precursor to myriad other conditions, including type 2 diabetes. In an earlier analysis of the SURMOUNT-1 trial, tirzepatide was shown to provide substantial and sustained reductions in body weight in persons with obesity over a 72-week period. Here, we report the 3-year safety outcomes with tirzepatide and its efficacy in reducing weight and delaying progression to type 2 diabetes in persons with both obesity and prediabetes.\nMETHODS: We performed a phase 3, double-blind, randomized, controlled trial in which 2539 participants with obesity, of whom 1032 also had prediabetes, were assigned in a 1:1:1:1 ratio to receive tirzepatide at a once-weekly dose of 5 mg, 10 mg, or 15 mg or placebo. The current analysis involved the participants with both obesity and prediabetes, who received their assigned dose of tirzepatide or placebo for a total of 176 weeks, followed by a 17-week off-treatment period. The three key secondary end points, which were controlled for type I error, were the percent change in body weight from baseline to week 176 and onset of type 2 diabetes during the 176-week and 193-week periods.\nRESULTS: At 176 weeks, the mean percent change in body weight among the participants who received tirzepatide was -12.3% with the 5-mg dose, -18.7% with the 10-mg dose, and -19.7% with the 15-mg dose, as compared with -1.3% among those who received placebo (P&lt;0.001 for all comparisons with placebo). Fewer participants received a diagnosis of type 2 diabetes in the tirzepatide groups than in the placebo group (1.3% vs. 13.3%; hazard ratio, 0.07; 95% confidence interval [CI], 0.0 to 0.1; P&lt;0.001). After 17 weeks off treatment or placebo, 2.4% of the participants who received tirzepatide and 13.7% of those who received placebo had type 2 diabetes (hazard ratio, 0.12; 95% CI, 0.1 to 0.2; P&lt;0.001). Other than coronavirus disease 2019, the most common adverse events were gastrointestinal, most of which were mild to moderate in severity and occurred primarily during the dose-escalation period in the first 20 weeks of the trial. No new safety signals were identified.\nCONCLUSIONS: Three years of treatment with tirzepatide in persons with obesity and prediabetes resulted in substantial and sustained weight reduction and a markedly lower risk of progression to type 2 diabetes than that with placebo. (Funded by Eli Lilly; SURMOUNT-1 ClinicalTrials.gov number, NCT04184622.).","container-title":"The New England Journal of Medicine","DOI":"10.1056/NEJMoa2410819","ISSN":"1533-4406","journalAbbreviation":"N Engl J Med","language":"eng","note":"PMID: 39536238","source":"PubMed","title":"Tirzepatide for Obesity Treatment and Diabetes Prevention","author":[{"family":"Jastreboff","given":"Ania M."},{"family":"Roux","given":"Carel W.","non-dropping-particle":"le"},{"family":"Stefanski","given":"Adam"},{"family":"Aronne","given":"Louis J."},{"family":"Halpern","given":"Bruno"},{"family":"Wharton","given":"Sean"},{"family":"Wilding","given":"John P. H."},{"family":"Perreault","given":"Leigh"},{"family":"Zhang","given":"Shuyu"},{"family":"Battula","given":"Ramakrishna"},{"family":"Bunck","given":"Mathijs C."},{"family":"Ahmad","given":"Nadia N."},{"family":"Jouravskaya","given":"Irina"},{"literal":"SURMOUNT-1 Investigators"}],"issued":{"date-parts":[["2024",11,13]]}}},{"id":2318,"uris":["http://zotero.org/users/10807406/items/Y6I9998R"],"itemData":{"id":2318,"type":"article-journal","abstract":"BACKGROUND: Weight reduction is essential for improving health outcomes in people with obesity and type 2 diabetes. We assessed the efficacy and safety of tirzepatide, a glucose-dependent insulinotropic polypeptide and glucagon-like peptide-1 receptor agonist, versus placebo, for weight management in people living with obesity and type 2 diabetes.\nMETHODS: This phase 3, double-blind, randomised, placebo-controlled trial was conducted in seven countries. Adults (aged ≥18 years) with a body-mass index (BMI) of 27 kg/m2 or higher and glycated haemoglobin (HbA1c) of 7-10% (53-86 mmol/mol) were randomly assigned (1:1:1), using a computer-generated random sequence via a validated interactive web-response system, to receive either once-weekly, subcutaneous tirzepatide (10 mg or 15 mg) or placebo for 72 weeks. All participants, investigators, and the sponsor were masked to treatment assignment. Coprimary endpoints were the percent change in bodyweight from baseline and bodyweight reduction of 5% or higher. The treatment-regimen estimand assessed effects regardless of treatment discontinuation or initiation of antihyperglycaemic rescue therapy. Efficacy and safety endpoints were analysed with data from all randomly assigned participants (intention-to-treat population). This trial is registered with ClinicalTrials.gov, NCT04657003.\nFINDINGS: Between March 29, 2021, and April 10, 2023, of 1514 adults assessed for eligibility, 938 (mean age 54·2 years [SD 10·6], 476 [51%] were female, 710 [76%] were White, and 561 [60%] were Hispanic or Latino) were randomly assigned and received at least one dose of tirzepatide 10 mg (n=312), tirzepatide 15 mg (n=311), or placebo (n=315). Baseline mean bodyweight was 100·7 kg (SD 21·1), BMI 36·1 kg/m2 (SD 6·6), and HbA1c 8·02% (SD 0·89; 64·1 mmol/mol [SD 9·7]). Least-squares mean change in bodyweight at week 72 with tirzepatide 10 mg and 15 mg was -12·8% (SE 0·6) and -14·7% (0·5), respectively, and -3·2% (0·5) with placebo, resulting in estimated treatment differences versus placebo of -9·6% percentage points (95% CI -11·1 to -8·1) with tirzepatide 10 mg and -11·6% percentage points (-13·0 to -10·1) with tirzepatide 15 mg (all p&lt;0·0001). More participants treated with tirzepatide versus placebo met bodyweight reduction thresholds of 5% or higher (79-83% vs 32%). The most frequent adverse events with tirzepatide were gastrointestinal-related, including nausea, diarrhoea, and vomiting and were mostly mild to moderate in severity, with few events leading to treatment discontinuation (&lt;5%). Serious adverse events were reported by 68 (7%) participants overall and two deaths occurred in the tirzepatide 10 mg group, but deaths were not considered to be related to the study treatment by the investigator.\nINTERPRETATION: In this 72-week trial in adults living with obesity and type 2 diabetes, once-weekly tirzepatide 10 mg and 15 mg provided substantial and clinically meaningful reduction in bodyweight, with a safety profile that was similar to other incretin-based therapies for weight management.\nFUNDING: Eli Lilly and Company.","container-title":"Lancet (London, England)","DOI":"10.1016/S0140-6736(23)01200-X","ISSN":"1474-547X","issue":"10402","journalAbbreviation":"Lancet","language":"eng","note":"PMID: 37385275","page":"613-626","source":"PubMed","title":"Tirzepatide once weekly for the treatment of obesity in people with type 2 diabetes (SURMOUNT-2): a double-blind, randomised, multicentre, placebo-controlled, phase 3 trial","title-short":"Tirzepatide once weekly for the treatment of obesity in people with type 2 diabetes (SURMOUNT-2)","volume":"402","author":[{"family":"Garvey","given":"W. Timothy"},{"family":"Frias","given":"Juan P."},{"family":"Jastreboff","given":"Ania M."},{"family":"Roux","given":"Carel W.","non-dropping-particle":"le"},{"family":"Sattar","given":"Naveed"},{"family":"Aizenberg","given":"Diego"},{"family":"Mao","given":"Huzhang"},{"family":"Zhang","given":"Shuyu"},{"family":"Ahmad","given":"Nadia N."},{"family":"Bunck","given":"Mathijs C."},{"family":"Benabbad","given":"Imane"},{"family":"Zhang","given":"Xiaotian M."},{"literal":"SURMOUNT-2 investigators"}],"issued":{"date-parts":[["2023",8,19]]}}}],"schema":"https://github.com/citation-style-language/schema/raw/master/csl-citation.json"} </w:instrText>
      </w:r>
      <w:r w:rsidR="00392EE1" w:rsidRPr="00ED04E4">
        <w:rPr>
          <w:rFonts w:ascii="Arial" w:hAnsi="Arial" w:cs="Arial"/>
        </w:rPr>
        <w:fldChar w:fldCharType="separate"/>
      </w:r>
      <w:r w:rsidR="00E6002F" w:rsidRPr="00E6002F">
        <w:rPr>
          <w:rFonts w:ascii="Arial" w:hAnsi="Arial" w:cs="Arial"/>
          <w:vertAlign w:val="superscript"/>
        </w:rPr>
        <w:t>5–7</w:t>
      </w:r>
      <w:r w:rsidR="00392EE1" w:rsidRPr="00ED04E4">
        <w:rPr>
          <w:rFonts w:ascii="Arial" w:hAnsi="Arial" w:cs="Arial"/>
        </w:rPr>
        <w:fldChar w:fldCharType="end"/>
      </w:r>
      <w:r w:rsidRPr="000B4CD8">
        <w:rPr>
          <w:rFonts w:ascii="Arial" w:hAnsi="Arial" w:cs="Arial"/>
        </w:rPr>
        <w:t>.</w:t>
      </w:r>
    </w:p>
    <w:p w14:paraId="12656EE0" w14:textId="77777777" w:rsidR="000B4CD8" w:rsidRPr="000B4CD8" w:rsidRDefault="000B4CD8" w:rsidP="000B4CD8">
      <w:pPr>
        <w:pStyle w:val="NormalWeb"/>
        <w:rPr>
          <w:rFonts w:ascii="Arial" w:hAnsi="Arial" w:cs="Arial"/>
        </w:rPr>
      </w:pPr>
      <w:r w:rsidRPr="000B4CD8">
        <w:rPr>
          <w:rFonts w:ascii="Arial" w:hAnsi="Arial" w:cs="Arial"/>
        </w:rPr>
        <w:t xml:space="preserve">To address this gap, we conducted a target trial emulation using </w:t>
      </w:r>
      <w:proofErr w:type="spellStart"/>
      <w:r w:rsidRPr="000B4CD8">
        <w:rPr>
          <w:rFonts w:ascii="Arial" w:hAnsi="Arial" w:cs="Arial"/>
        </w:rPr>
        <w:t>TriNetX</w:t>
      </w:r>
      <w:proofErr w:type="spellEnd"/>
      <w:r w:rsidRPr="000B4CD8">
        <w:rPr>
          <w:rFonts w:ascii="Arial" w:hAnsi="Arial" w:cs="Arial"/>
        </w:rPr>
        <w:t xml:space="preserve"> electronic health record (EHR) data to compare GLP-1RAs with other anti-obesity medications (AOMs) in adults with obesity and no prior diabetes. We assessed cardiovascular, renal, mental health, and safety outcomes.</w:t>
      </w:r>
    </w:p>
    <w:p w14:paraId="0129F451" w14:textId="6405DE79" w:rsidR="000B4CD8" w:rsidRPr="000B4CD8" w:rsidRDefault="000B4CD8" w:rsidP="000B4CD8">
      <w:pPr>
        <w:pStyle w:val="NormalWeb"/>
        <w:rPr>
          <w:rFonts w:ascii="Arial" w:hAnsi="Arial" w:cs="Arial"/>
          <w:b/>
          <w:bCs/>
        </w:rPr>
      </w:pPr>
      <w:r w:rsidRPr="000B4CD8">
        <w:rPr>
          <w:rFonts w:ascii="Arial" w:hAnsi="Arial" w:cs="Arial"/>
          <w:b/>
          <w:bCs/>
        </w:rPr>
        <w:t xml:space="preserve">Methods </w:t>
      </w:r>
    </w:p>
    <w:p w14:paraId="1262F06B" w14:textId="77777777" w:rsidR="000B4CD8" w:rsidRDefault="000B4CD8" w:rsidP="000B4CD8">
      <w:pPr>
        <w:pStyle w:val="NormalWeb"/>
        <w:rPr>
          <w:rFonts w:ascii="Arial" w:hAnsi="Arial" w:cs="Arial"/>
        </w:rPr>
      </w:pPr>
      <w:r w:rsidRPr="000B4CD8">
        <w:rPr>
          <w:rFonts w:ascii="Arial" w:hAnsi="Arial" w:cs="Arial"/>
        </w:rPr>
        <w:t xml:space="preserve">Study Design and Population </w:t>
      </w:r>
    </w:p>
    <w:p w14:paraId="585B517A" w14:textId="51C7D2E9" w:rsidR="000B4CD8" w:rsidRPr="0051536B" w:rsidRDefault="000B4CD8" w:rsidP="000B4CD8">
      <w:pPr>
        <w:pStyle w:val="NormalWeb"/>
        <w:rPr>
          <w:rFonts w:ascii="Arial" w:hAnsi="Arial" w:cs="Arial"/>
        </w:rPr>
      </w:pPr>
      <w:r w:rsidRPr="000B4CD8">
        <w:rPr>
          <w:rFonts w:ascii="Arial" w:hAnsi="Arial" w:cs="Arial"/>
        </w:rPr>
        <w:lastRenderedPageBreak/>
        <w:t xml:space="preserve">We emulated a target trial using de-identified data from </w:t>
      </w:r>
      <w:proofErr w:type="spellStart"/>
      <w:r w:rsidRPr="000B4CD8">
        <w:rPr>
          <w:rFonts w:ascii="Arial" w:hAnsi="Arial" w:cs="Arial"/>
        </w:rPr>
        <w:t>TriNetX</w:t>
      </w:r>
      <w:proofErr w:type="spellEnd"/>
      <w:r w:rsidRPr="000B4CD8">
        <w:rPr>
          <w:rFonts w:ascii="Arial" w:hAnsi="Arial" w:cs="Arial"/>
        </w:rPr>
        <w:t xml:space="preserve"> (July 2021–May 2025)</w:t>
      </w:r>
      <w:r w:rsidR="00392EE1" w:rsidRPr="00392EE1">
        <w:rPr>
          <w:rFonts w:ascii="Arial" w:hAnsi="Arial" w:cs="Arial"/>
          <w:b/>
          <w:bCs/>
        </w:rPr>
        <w:t xml:space="preserve"> </w:t>
      </w:r>
      <w:r w:rsidR="00392EE1" w:rsidRPr="0051536B">
        <w:rPr>
          <w:rFonts w:ascii="Arial" w:hAnsi="Arial" w:cs="Arial"/>
          <w:b/>
          <w:bCs/>
        </w:rPr>
        <w:fldChar w:fldCharType="begin"/>
      </w:r>
      <w:r w:rsidR="00E6002F">
        <w:rPr>
          <w:rFonts w:ascii="Arial" w:hAnsi="Arial" w:cs="Arial"/>
        </w:rPr>
        <w:instrText xml:space="preserve"> ADDIN ZOTERO_ITEM CSL_CITATION {"citationID":"d7lYUe1N","properties":{"formattedCitation":"\\super 8\\nosupersub{}","plainCitation":"8","noteIndex":0},"citationItems":[{"id":3913,"uris":["http://zotero.org/users/10807406/items/L4692CYN"],"itemData":{"id":3913,"type":"article-journal","abstract":"OBJECTIVE: This article describes a scalable, performant, sustainable global network of electronic health record data for biomedical and clinical research.\nMATERIALS AND METHODS: TriNetX has created a technology platform characterized by a conservative security and governance model that facilitates collaboration and cooperation between industry participants, such as pharmaceutical companies and contract research organizations, and academic and community-based healthcare organizations (HCOs). HCOs participate on the network in return for access to a suite of analytics capabilities, large networks of de-identified data, and more sponsored trial opportunities. Industry participants provide the financial resources to support, expand, and improve the technology platform in return for access to network data, which provides increased efficiencies in clinical trial design and deployment.\nRESULTS: TriNetX is a growing global network, expanding from 55 HCOs and 7 countries in 2017 to over 220 HCOs and 30 countries in 2022. Over 19 000 sponsored clinical trial opportunities have been initiated through the TriNetX network. There have been over 350 peer-reviewed scientific publications based on the network's data.\nCONCLUSIONS: The continued growth of the TriNetX network and its yield of clinical trial collaborations and published studies indicates that this academic-industry structure is a safe, proven, sustainable path for building and maintaining research-centric data networks.","container-title":"JAMIA open","DOI":"10.1093/jamiaopen/ooad035","ISSN":"2574-2531","issue":"2","journalAbbreviation":"JAMIA Open","language":"eng","note":"PMID: 37193038\nPMCID: PMC10182857","page":"ooad035","source":"PubMed","title":"A global federated real-world data and analytics platform for research","volume":"6","author":[{"family":"Palchuk","given":"Matvey B."},{"family":"London","given":"Jack W."},{"family":"Perez-Rey","given":"David"},{"family":"Drebert","given":"Zuzanna J."},{"family":"Winer-Jones","given":"Jessamine P."},{"family":"Thompson","given":"Courtney N."},{"family":"Esposito","given":"John"},{"family":"Claerhout","given":"Brecht"}],"issued":{"date-parts":[["2023",7]]}}}],"schema":"https://github.com/citation-style-language/schema/raw/master/csl-citation.json"} </w:instrText>
      </w:r>
      <w:r w:rsidR="00392EE1" w:rsidRPr="0051536B">
        <w:rPr>
          <w:rFonts w:ascii="Arial" w:hAnsi="Arial" w:cs="Arial"/>
          <w:b/>
          <w:bCs/>
        </w:rPr>
        <w:fldChar w:fldCharType="separate"/>
      </w:r>
      <w:r w:rsidR="00E6002F" w:rsidRPr="00E6002F">
        <w:rPr>
          <w:rFonts w:ascii="Arial" w:hAnsi="Arial" w:cs="Arial"/>
          <w:vertAlign w:val="superscript"/>
        </w:rPr>
        <w:t>8</w:t>
      </w:r>
      <w:r w:rsidR="00392EE1" w:rsidRPr="0051536B">
        <w:rPr>
          <w:rFonts w:ascii="Arial" w:hAnsi="Arial" w:cs="Arial"/>
          <w:b/>
          <w:bCs/>
        </w:rPr>
        <w:fldChar w:fldCharType="end"/>
      </w:r>
      <w:r w:rsidRPr="0051536B">
        <w:rPr>
          <w:rFonts w:ascii="Arial" w:hAnsi="Arial" w:cs="Arial"/>
        </w:rPr>
        <w:t xml:space="preserve">. Adults aged ≥18 years with obesity (BMI ≥30 kg/m² or ICD-10-CM codes) and no diabetes diagnosis or glucose-lowering drug use were included. We </w:t>
      </w:r>
      <w:r w:rsidR="009C304D" w:rsidRPr="0051536B">
        <w:rPr>
          <w:rFonts w:ascii="Arial" w:hAnsi="Arial" w:cs="Arial"/>
        </w:rPr>
        <w:t>included</w:t>
      </w:r>
      <w:r w:rsidRPr="0051536B">
        <w:rPr>
          <w:rFonts w:ascii="Arial" w:hAnsi="Arial" w:cs="Arial"/>
        </w:rPr>
        <w:t xml:space="preserve"> new users of GLP-1RAs (liraglutide, </w:t>
      </w:r>
      <w:proofErr w:type="spellStart"/>
      <w:r w:rsidRPr="0051536B">
        <w:rPr>
          <w:rFonts w:ascii="Arial" w:hAnsi="Arial" w:cs="Arial"/>
        </w:rPr>
        <w:t>semaglutide</w:t>
      </w:r>
      <w:proofErr w:type="spellEnd"/>
      <w:r w:rsidRPr="0051536B">
        <w:rPr>
          <w:rFonts w:ascii="Arial" w:hAnsi="Arial" w:cs="Arial"/>
        </w:rPr>
        <w:t xml:space="preserve">, </w:t>
      </w:r>
      <w:proofErr w:type="spellStart"/>
      <w:r w:rsidRPr="0051536B">
        <w:rPr>
          <w:rFonts w:ascii="Arial" w:hAnsi="Arial" w:cs="Arial"/>
        </w:rPr>
        <w:t>tirzepatide</w:t>
      </w:r>
      <w:proofErr w:type="spellEnd"/>
      <w:r w:rsidRPr="0051536B">
        <w:rPr>
          <w:rFonts w:ascii="Arial" w:hAnsi="Arial" w:cs="Arial"/>
        </w:rPr>
        <w:t xml:space="preserve">) or AOMs (orlistat, naltrexone/bupropion, phentermine/topiramate, </w:t>
      </w:r>
      <w:proofErr w:type="spellStart"/>
      <w:r w:rsidRPr="0051536B">
        <w:rPr>
          <w:rFonts w:ascii="Arial" w:hAnsi="Arial" w:cs="Arial"/>
        </w:rPr>
        <w:t>lorcaserin</w:t>
      </w:r>
      <w:proofErr w:type="spellEnd"/>
      <w:r w:rsidRPr="0051536B">
        <w:rPr>
          <w:rFonts w:ascii="Arial" w:hAnsi="Arial" w:cs="Arial"/>
        </w:rPr>
        <w:t>). Exclusions included prior use of these drugs, end-stage kidney disease (ESKD)</w:t>
      </w:r>
      <w:r w:rsidR="00392EE1" w:rsidRPr="0051536B">
        <w:rPr>
          <w:rFonts w:ascii="Arial" w:hAnsi="Arial" w:cs="Arial"/>
        </w:rPr>
        <w:t>/dialysis</w:t>
      </w:r>
      <w:r w:rsidRPr="0051536B">
        <w:rPr>
          <w:rFonts w:ascii="Arial" w:hAnsi="Arial" w:cs="Arial"/>
        </w:rPr>
        <w:t>, or history of study outcomes.</w:t>
      </w:r>
    </w:p>
    <w:p w14:paraId="423CF06B" w14:textId="77777777" w:rsidR="000B4CD8" w:rsidRPr="0051536B" w:rsidRDefault="000B4CD8" w:rsidP="000B4CD8">
      <w:pPr>
        <w:pStyle w:val="NormalWeb"/>
        <w:rPr>
          <w:rFonts w:ascii="Arial" w:hAnsi="Arial" w:cs="Arial"/>
        </w:rPr>
      </w:pPr>
      <w:r w:rsidRPr="0051536B">
        <w:rPr>
          <w:rFonts w:ascii="Arial" w:hAnsi="Arial" w:cs="Arial"/>
        </w:rPr>
        <w:t xml:space="preserve">Exposure and Outcomes </w:t>
      </w:r>
    </w:p>
    <w:p w14:paraId="39543320" w14:textId="4119BD9A" w:rsidR="0051536B" w:rsidRPr="0051536B" w:rsidRDefault="0051536B" w:rsidP="0051536B">
      <w:pPr>
        <w:pStyle w:val="bv-p-translate"/>
        <w:rPr>
          <w:rFonts w:ascii="Arial" w:hAnsi="Arial" w:cs="Arial"/>
        </w:rPr>
      </w:pPr>
      <w:r w:rsidRPr="0051536B">
        <w:rPr>
          <w:rFonts w:ascii="Arial" w:hAnsi="Arial" w:cs="Arial"/>
        </w:rPr>
        <w:t xml:space="preserve">The exposure was </w:t>
      </w:r>
      <w:bookmarkStart w:id="0" w:name="OLE_LINK7"/>
      <w:r w:rsidRPr="0051536B">
        <w:rPr>
          <w:rFonts w:ascii="Arial" w:hAnsi="Arial" w:cs="Arial"/>
        </w:rPr>
        <w:t>initiation of GLP-1RAs</w:t>
      </w:r>
      <w:bookmarkEnd w:id="0"/>
      <w:r w:rsidRPr="0051536B">
        <w:rPr>
          <w:rFonts w:ascii="Arial" w:hAnsi="Arial" w:cs="Arial"/>
        </w:rPr>
        <w:t xml:space="preserve">, with other AOMs serving as the comparator. Medications were identified using Anatomical Therapeutic Chemical (ATC) or </w:t>
      </w:r>
      <w:proofErr w:type="spellStart"/>
      <w:r w:rsidRPr="0051536B">
        <w:rPr>
          <w:rFonts w:ascii="Arial" w:hAnsi="Arial" w:cs="Arial"/>
        </w:rPr>
        <w:t>RxNorm</w:t>
      </w:r>
      <w:proofErr w:type="spellEnd"/>
      <w:r w:rsidRPr="0051536B">
        <w:rPr>
          <w:rFonts w:ascii="Arial" w:hAnsi="Arial" w:cs="Arial"/>
        </w:rPr>
        <w:t xml:space="preserve"> codes.</w:t>
      </w:r>
    </w:p>
    <w:p w14:paraId="46617E94" w14:textId="0FBD6D8E" w:rsidR="0051536B" w:rsidRPr="0051536B" w:rsidRDefault="0051536B" w:rsidP="0051536B">
      <w:pPr>
        <w:pStyle w:val="bv-p-translate"/>
        <w:rPr>
          <w:rFonts w:ascii="Arial" w:hAnsi="Arial" w:cs="Arial"/>
        </w:rPr>
      </w:pPr>
      <w:r w:rsidRPr="0051536B">
        <w:rPr>
          <w:rFonts w:ascii="Arial" w:hAnsi="Arial" w:cs="Arial"/>
        </w:rPr>
        <w:t>Primary outcomes included major adverse cardiovascular events (MACE: acute coronary syndrome, heart failure, stroke), major adverse kidney events (MAKE: end-stage kidney disease, dialysis, or estimated glomerular filtration rate [eGFR] &lt;</w:t>
      </w:r>
      <w:r w:rsidR="005C4405">
        <w:rPr>
          <w:rFonts w:ascii="Arial" w:hAnsi="Arial" w:cs="Arial"/>
        </w:rPr>
        <w:t>1</w:t>
      </w:r>
      <w:r w:rsidRPr="0051536B">
        <w:rPr>
          <w:rFonts w:ascii="Arial" w:hAnsi="Arial" w:cs="Arial"/>
        </w:rPr>
        <w:t>5), and all-cause mortality. Secondary outcomes encompassed individual cardiovascular and kidney events, acute kidney injury, mental health outcomes (e.g., suicidal ideation/attempt, depression, substance use disorder), and safety events (e.g., acute pancreatitis, hypoglycemia, gastrointestinal symptoms).</w:t>
      </w:r>
      <w:r>
        <w:rPr>
          <w:rFonts w:ascii="Arial" w:hAnsi="Arial" w:cs="Arial"/>
        </w:rPr>
        <w:t xml:space="preserve"> </w:t>
      </w:r>
      <w:r w:rsidRPr="0051536B">
        <w:rPr>
          <w:rFonts w:ascii="Arial" w:hAnsi="Arial" w:cs="Arial"/>
        </w:rPr>
        <w:t>Participants were followed from the index date until the first occurrence of the outcome, death, or end of the study period.</w:t>
      </w:r>
    </w:p>
    <w:p w14:paraId="732E88C1" w14:textId="7C2351EC" w:rsidR="00F12885" w:rsidRPr="00F453C6" w:rsidRDefault="000B4CD8" w:rsidP="000B4CD8">
      <w:pPr>
        <w:pStyle w:val="NormalWeb"/>
        <w:rPr>
          <w:rFonts w:ascii="Arial" w:hAnsi="Arial" w:cs="Arial"/>
        </w:rPr>
      </w:pPr>
      <w:r w:rsidRPr="00F453C6">
        <w:rPr>
          <w:rFonts w:ascii="Arial" w:hAnsi="Arial" w:cs="Arial"/>
        </w:rPr>
        <w:t xml:space="preserve">Statistical Analysis </w:t>
      </w:r>
    </w:p>
    <w:p w14:paraId="67A753F5" w14:textId="132938C0" w:rsidR="00F453C6" w:rsidRPr="00F453C6" w:rsidRDefault="00F453C6" w:rsidP="00F453C6">
      <w:pPr>
        <w:pStyle w:val="bv-p-translate"/>
        <w:rPr>
          <w:rFonts w:ascii="Arial" w:hAnsi="Arial" w:cs="Arial"/>
        </w:rPr>
      </w:pPr>
      <w:r w:rsidRPr="00F453C6">
        <w:rPr>
          <w:rFonts w:ascii="Arial" w:hAnsi="Arial" w:cs="Arial"/>
        </w:rPr>
        <w:t xml:space="preserve">We conducted 1:1 propensity score matching (PSM) using logistic regression based on all baseline covariates, including demographics, comorbidities, medications, laboratory values, and healthcare utilization measured in the year prior to treatment initiation. Covariate balance between treatment groups was evaluated using </w:t>
      </w:r>
      <w:bookmarkStart w:id="1" w:name="OLE_LINK8"/>
      <w:r w:rsidRPr="00F453C6">
        <w:rPr>
          <w:rFonts w:ascii="Arial" w:hAnsi="Arial" w:cs="Arial"/>
        </w:rPr>
        <w:t xml:space="preserve">standardized mean differences (SMD), with values &lt;0.1 </w:t>
      </w:r>
      <w:bookmarkEnd w:id="1"/>
      <w:r w:rsidRPr="00F453C6">
        <w:rPr>
          <w:rFonts w:ascii="Arial" w:hAnsi="Arial" w:cs="Arial"/>
        </w:rPr>
        <w:t>indicating adequate balance.</w:t>
      </w:r>
    </w:p>
    <w:p w14:paraId="2FF082BC" w14:textId="6137AF8F" w:rsidR="00F453C6" w:rsidRPr="00F453C6" w:rsidRDefault="00F453C6" w:rsidP="00F453C6">
      <w:pPr>
        <w:pStyle w:val="bv-p-translate"/>
        <w:rPr>
          <w:rFonts w:ascii="Arial" w:hAnsi="Arial" w:cs="Arial"/>
        </w:rPr>
      </w:pPr>
      <w:r w:rsidRPr="00F453C6">
        <w:rPr>
          <w:rFonts w:ascii="Arial" w:hAnsi="Arial" w:cs="Arial"/>
        </w:rPr>
        <w:t xml:space="preserve">Hazard ratios (HRs) and 95% confidence intervals (CIs) were estimated using Cox proportional hazards models, and Kaplan-Meier curves were generated to visualize event-free survival. Sensitivity analyses included limiting follow-up to one year and </w:t>
      </w:r>
      <w:r>
        <w:rPr>
          <w:rFonts w:ascii="Arial" w:hAnsi="Arial" w:cs="Arial"/>
        </w:rPr>
        <w:t>among older adults (</w:t>
      </w:r>
      <w:r w:rsidRPr="00F453C6">
        <w:rPr>
          <w:rFonts w:ascii="Arial" w:hAnsi="Arial" w:cs="Arial"/>
        </w:rPr>
        <w:t>age</w:t>
      </w:r>
      <w:r>
        <w:rPr>
          <w:rFonts w:ascii="Arial" w:hAnsi="Arial" w:cs="Arial"/>
        </w:rPr>
        <w:t>d</w:t>
      </w:r>
      <w:r w:rsidRPr="00F453C6">
        <w:rPr>
          <w:rFonts w:ascii="Arial" w:hAnsi="Arial" w:cs="Arial"/>
        </w:rPr>
        <w:t xml:space="preserve"> ≥65 years</w:t>
      </w:r>
      <w:r>
        <w:rPr>
          <w:rFonts w:ascii="Arial" w:hAnsi="Arial" w:cs="Arial"/>
        </w:rPr>
        <w:t>)</w:t>
      </w:r>
      <w:r w:rsidRPr="00F453C6">
        <w:rPr>
          <w:rFonts w:ascii="Arial" w:hAnsi="Arial" w:cs="Arial"/>
        </w:rPr>
        <w:t xml:space="preserve">. To assess potential unmeasured confounding, we examined two </w:t>
      </w:r>
      <w:bookmarkStart w:id="2" w:name="OLE_LINK9"/>
      <w:r w:rsidRPr="00F453C6">
        <w:rPr>
          <w:rFonts w:ascii="Arial" w:hAnsi="Arial" w:cs="Arial"/>
        </w:rPr>
        <w:t>negative control outcomes: dog bite</w:t>
      </w:r>
      <w:r w:rsidR="00691B22">
        <w:rPr>
          <w:rFonts w:ascii="Arial" w:hAnsi="Arial" w:cs="Arial"/>
        </w:rPr>
        <w:t xml:space="preserve">, nail disorders, hearing test </w:t>
      </w:r>
      <w:r w:rsidRPr="00F453C6">
        <w:rPr>
          <w:rFonts w:ascii="Arial" w:hAnsi="Arial" w:cs="Arial"/>
        </w:rPr>
        <w:t xml:space="preserve">and </w:t>
      </w:r>
      <w:r w:rsidR="00691B22">
        <w:rPr>
          <w:rFonts w:ascii="Arial" w:hAnsi="Arial" w:cs="Arial"/>
        </w:rPr>
        <w:t>sebaceous cyst</w:t>
      </w:r>
      <w:r w:rsidRPr="00F453C6">
        <w:rPr>
          <w:rFonts w:ascii="Arial" w:hAnsi="Arial" w:cs="Arial"/>
        </w:rPr>
        <w:t xml:space="preserve">. </w:t>
      </w:r>
      <w:bookmarkEnd w:id="2"/>
      <w:r w:rsidRPr="00F453C6">
        <w:rPr>
          <w:rFonts w:ascii="Arial" w:hAnsi="Arial" w:cs="Arial"/>
        </w:rPr>
        <w:t xml:space="preserve">All analyses were performed in R within the </w:t>
      </w:r>
      <w:proofErr w:type="spellStart"/>
      <w:r w:rsidRPr="00F453C6">
        <w:rPr>
          <w:rFonts w:ascii="Arial" w:hAnsi="Arial" w:cs="Arial"/>
        </w:rPr>
        <w:t>TriNetX</w:t>
      </w:r>
      <w:proofErr w:type="spellEnd"/>
      <w:r w:rsidRPr="00F453C6">
        <w:rPr>
          <w:rFonts w:ascii="Arial" w:hAnsi="Arial" w:cs="Arial"/>
        </w:rPr>
        <w:t xml:space="preserve"> platform.</w:t>
      </w:r>
    </w:p>
    <w:p w14:paraId="71EB1496" w14:textId="4024E2BF" w:rsidR="00F12885" w:rsidRPr="00F12885" w:rsidRDefault="000B4CD8" w:rsidP="000B4CD8">
      <w:pPr>
        <w:pStyle w:val="NormalWeb"/>
        <w:rPr>
          <w:rFonts w:ascii="Arial" w:hAnsi="Arial" w:cs="Arial"/>
          <w:b/>
          <w:bCs/>
        </w:rPr>
      </w:pPr>
      <w:r w:rsidRPr="00F12885">
        <w:rPr>
          <w:rFonts w:ascii="Arial" w:hAnsi="Arial" w:cs="Arial"/>
          <w:b/>
          <w:bCs/>
        </w:rPr>
        <w:t>R</w:t>
      </w:r>
      <w:r w:rsidR="00F12885" w:rsidRPr="00F12885">
        <w:rPr>
          <w:rFonts w:ascii="Arial" w:hAnsi="Arial" w:cs="Arial"/>
          <w:b/>
          <w:bCs/>
        </w:rPr>
        <w:t>esults</w:t>
      </w:r>
      <w:r w:rsidRPr="00F12885">
        <w:rPr>
          <w:rFonts w:ascii="Arial" w:hAnsi="Arial" w:cs="Arial"/>
          <w:b/>
          <w:bCs/>
        </w:rPr>
        <w:t xml:space="preserve"> </w:t>
      </w:r>
    </w:p>
    <w:p w14:paraId="38A82E57" w14:textId="77777777" w:rsidR="00F12885" w:rsidRDefault="000B4CD8" w:rsidP="000B4CD8">
      <w:pPr>
        <w:pStyle w:val="NormalWeb"/>
        <w:rPr>
          <w:rFonts w:ascii="Arial" w:hAnsi="Arial" w:cs="Arial"/>
        </w:rPr>
      </w:pPr>
      <w:r w:rsidRPr="000B4CD8">
        <w:rPr>
          <w:rFonts w:ascii="Arial" w:hAnsi="Arial" w:cs="Arial"/>
        </w:rPr>
        <w:t xml:space="preserve">Study Cohort </w:t>
      </w:r>
    </w:p>
    <w:p w14:paraId="21E4E421" w14:textId="1732854D" w:rsidR="00985CED" w:rsidRDefault="000B4CD8" w:rsidP="00116ED6">
      <w:pPr>
        <w:pStyle w:val="NormalWeb"/>
        <w:rPr>
          <w:rFonts w:ascii="Arial" w:hAnsi="Arial" w:cs="Arial"/>
        </w:rPr>
      </w:pPr>
      <w:r w:rsidRPr="000B4CD8">
        <w:rPr>
          <w:rFonts w:ascii="Arial" w:hAnsi="Arial" w:cs="Arial"/>
        </w:rPr>
        <w:t xml:space="preserve">After applying </w:t>
      </w:r>
      <w:r w:rsidR="005C4405">
        <w:rPr>
          <w:rFonts w:ascii="Arial" w:hAnsi="Arial" w:cs="Arial"/>
        </w:rPr>
        <w:t xml:space="preserve">the </w:t>
      </w:r>
      <w:r w:rsidRPr="000B4CD8">
        <w:rPr>
          <w:rFonts w:ascii="Arial" w:hAnsi="Arial" w:cs="Arial"/>
        </w:rPr>
        <w:t xml:space="preserve">inclusion criteria, </w:t>
      </w:r>
      <w:r w:rsidR="005C4405">
        <w:rPr>
          <w:rFonts w:ascii="Arial" w:eastAsia="Arial" w:hAnsi="Arial" w:cs="Arial"/>
          <w:color w:val="000000"/>
        </w:rPr>
        <w:t>174,946</w:t>
      </w:r>
      <w:r w:rsidR="005C4405" w:rsidRPr="00ED04E4">
        <w:rPr>
          <w:rFonts w:ascii="Arial" w:eastAsia="Arial" w:hAnsi="Arial" w:cs="Arial"/>
          <w:color w:val="000000"/>
        </w:rPr>
        <w:t xml:space="preserve"> </w:t>
      </w:r>
      <w:r w:rsidRPr="000B4CD8">
        <w:rPr>
          <w:rFonts w:ascii="Arial" w:hAnsi="Arial" w:cs="Arial"/>
        </w:rPr>
        <w:t xml:space="preserve">GLP-1RA and </w:t>
      </w:r>
      <w:r w:rsidR="005C4405">
        <w:rPr>
          <w:rFonts w:ascii="Arial" w:eastAsia="Arial" w:hAnsi="Arial" w:cs="Arial"/>
          <w:color w:val="000000"/>
        </w:rPr>
        <w:t>197,057</w:t>
      </w:r>
      <w:r w:rsidR="005C4405" w:rsidRPr="00ED04E4">
        <w:rPr>
          <w:rFonts w:ascii="Arial" w:eastAsia="Arial" w:hAnsi="Arial" w:cs="Arial"/>
          <w:color w:val="000000"/>
        </w:rPr>
        <w:t xml:space="preserve"> </w:t>
      </w:r>
      <w:r w:rsidRPr="000B4CD8">
        <w:rPr>
          <w:rFonts w:ascii="Arial" w:hAnsi="Arial" w:cs="Arial"/>
        </w:rPr>
        <w:t xml:space="preserve">AOM users were identified. PSM yielded </w:t>
      </w:r>
      <w:r w:rsidR="005C4405">
        <w:rPr>
          <w:rFonts w:ascii="Arial" w:eastAsia="Arial" w:hAnsi="Arial" w:cs="Arial"/>
          <w:color w:val="000000"/>
        </w:rPr>
        <w:t>140,169</w:t>
      </w:r>
      <w:r w:rsidR="005C4405" w:rsidRPr="00ED04E4">
        <w:rPr>
          <w:rFonts w:ascii="Arial" w:eastAsia="Arial" w:hAnsi="Arial" w:cs="Arial"/>
          <w:color w:val="000000"/>
        </w:rPr>
        <w:t xml:space="preserve"> </w:t>
      </w:r>
      <w:r w:rsidRPr="000B4CD8">
        <w:rPr>
          <w:rFonts w:ascii="Arial" w:hAnsi="Arial" w:cs="Arial"/>
        </w:rPr>
        <w:t xml:space="preserve">individuals per group with well-balanced characteristics </w:t>
      </w:r>
      <w:r w:rsidRPr="000B4CD8">
        <w:rPr>
          <w:rFonts w:ascii="Arial" w:hAnsi="Arial" w:cs="Arial"/>
        </w:rPr>
        <w:lastRenderedPageBreak/>
        <w:t>(mean age 48 years; 71% women; 70% White). Mean follow-up was 3</w:t>
      </w:r>
      <w:r w:rsidR="005C4405">
        <w:rPr>
          <w:rFonts w:ascii="Arial" w:hAnsi="Arial" w:cs="Arial"/>
        </w:rPr>
        <w:t>92</w:t>
      </w:r>
      <w:r w:rsidRPr="000B4CD8">
        <w:rPr>
          <w:rFonts w:ascii="Arial" w:hAnsi="Arial" w:cs="Arial"/>
        </w:rPr>
        <w:t xml:space="preserve"> days for GLP-1RAs and </w:t>
      </w:r>
      <w:r w:rsidR="005C4405">
        <w:rPr>
          <w:rFonts w:ascii="Arial" w:hAnsi="Arial" w:cs="Arial"/>
        </w:rPr>
        <w:t>564</w:t>
      </w:r>
      <w:r w:rsidRPr="000B4CD8">
        <w:rPr>
          <w:rFonts w:ascii="Arial" w:hAnsi="Arial" w:cs="Arial"/>
        </w:rPr>
        <w:t xml:space="preserve"> days for AOMs.</w:t>
      </w:r>
    </w:p>
    <w:p w14:paraId="1B63F727" w14:textId="438870D0" w:rsidR="00116ED6" w:rsidRDefault="005C4405" w:rsidP="00116ED6">
      <w:pPr>
        <w:pStyle w:val="NormalWeb"/>
        <w:rPr>
          <w:rFonts w:ascii="Arial" w:hAnsi="Arial" w:cs="Arial"/>
        </w:rPr>
      </w:pPr>
      <w:r>
        <w:rPr>
          <w:rFonts w:ascii="Arial" w:eastAsia="Arial" w:hAnsi="Arial" w:cs="Arial"/>
          <w:b/>
          <w:noProof/>
        </w:rPr>
        <w:drawing>
          <wp:inline distT="0" distB="0" distL="0" distR="0" wp14:anchorId="645CB5B3" wp14:editId="53B38192">
            <wp:extent cx="5365605" cy="4090670"/>
            <wp:effectExtent l="0" t="0" r="0" b="0"/>
            <wp:docPr id="562296668" name="Picture 3" descr="A screenshot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296668" name="Picture 3" descr="A screenshot of a paper&#10;&#10;AI-generated content may be incorrect."/>
                    <pic:cNvPicPr/>
                  </pic:nvPicPr>
                  <pic:blipFill rotWithShape="1">
                    <a:blip r:embed="rId5" cstate="print">
                      <a:extLst>
                        <a:ext uri="{28A0092B-C50C-407E-A947-70E740481C1C}">
                          <a14:useLocalDpi xmlns:a14="http://schemas.microsoft.com/office/drawing/2010/main" val="0"/>
                        </a:ext>
                      </a:extLst>
                    </a:blip>
                    <a:srcRect l="1774" r="7934" b="38047"/>
                    <a:stretch>
                      <a:fillRect/>
                    </a:stretch>
                  </pic:blipFill>
                  <pic:spPr bwMode="auto">
                    <a:xfrm>
                      <a:off x="0" y="0"/>
                      <a:ext cx="5366573" cy="4091408"/>
                    </a:xfrm>
                    <a:prstGeom prst="rect">
                      <a:avLst/>
                    </a:prstGeom>
                    <a:ln>
                      <a:noFill/>
                    </a:ln>
                    <a:extLst>
                      <a:ext uri="{53640926-AAD7-44D8-BBD7-CCE9431645EC}">
                        <a14:shadowObscured xmlns:a14="http://schemas.microsoft.com/office/drawing/2010/main"/>
                      </a:ext>
                    </a:extLst>
                  </pic:spPr>
                </pic:pic>
              </a:graphicData>
            </a:graphic>
          </wp:inline>
        </w:drawing>
      </w:r>
    </w:p>
    <w:p w14:paraId="33FCD305" w14:textId="38F7DC0F" w:rsidR="00985CED" w:rsidRPr="00985CED" w:rsidRDefault="00985CED" w:rsidP="00985CED">
      <w:pPr>
        <w:spacing w:line="240" w:lineRule="auto"/>
        <w:rPr>
          <w:rFonts w:ascii="Arial" w:eastAsia="Arial" w:hAnsi="Arial" w:cs="Arial"/>
        </w:rPr>
      </w:pPr>
      <w:r w:rsidRPr="00ED04E4">
        <w:rPr>
          <w:rFonts w:ascii="Arial" w:eastAsia="Arial" w:hAnsi="Arial" w:cs="Arial"/>
          <w:b/>
          <w:bCs/>
        </w:rPr>
        <w:t>Fig</w:t>
      </w:r>
      <w:r>
        <w:rPr>
          <w:rFonts w:ascii="Arial" w:eastAsia="Arial" w:hAnsi="Arial" w:cs="Arial"/>
          <w:b/>
          <w:bCs/>
        </w:rPr>
        <w:t>ure</w:t>
      </w:r>
      <w:r w:rsidRPr="00ED04E4">
        <w:rPr>
          <w:rFonts w:ascii="Arial" w:eastAsia="Arial" w:hAnsi="Arial" w:cs="Arial"/>
          <w:b/>
          <w:bCs/>
        </w:rPr>
        <w:t xml:space="preserve"> </w:t>
      </w:r>
      <w:r>
        <w:rPr>
          <w:rFonts w:ascii="Arial" w:eastAsia="Arial" w:hAnsi="Arial" w:cs="Arial"/>
          <w:b/>
          <w:bCs/>
        </w:rPr>
        <w:t>1</w:t>
      </w:r>
      <w:r w:rsidRPr="00ED04E4">
        <w:rPr>
          <w:rFonts w:ascii="Arial" w:eastAsia="Arial" w:hAnsi="Arial" w:cs="Arial"/>
          <w:b/>
          <w:bCs/>
        </w:rPr>
        <w:t>.</w:t>
      </w:r>
      <w:r w:rsidRPr="00ED04E4">
        <w:rPr>
          <w:rFonts w:ascii="Arial" w:eastAsia="Arial" w:hAnsi="Arial" w:cs="Arial"/>
        </w:rPr>
        <w:t xml:space="preserve"> Effectiveness and safety outcomes with glucagon-like peptide-1 receptor agonists versus other anti-obesity medications in </w:t>
      </w:r>
      <w:r>
        <w:rPr>
          <w:rFonts w:ascii="Arial" w:eastAsia="Arial" w:hAnsi="Arial" w:cs="Arial"/>
        </w:rPr>
        <w:t>obese adults without diabetes</w:t>
      </w:r>
      <w:r w:rsidRPr="00ED04E4">
        <w:rPr>
          <w:rFonts w:ascii="Arial" w:eastAsia="Arial" w:hAnsi="Arial" w:cs="Arial"/>
        </w:rPr>
        <w:t>.</w:t>
      </w:r>
      <w:r w:rsidRPr="00ED04E4">
        <w:rPr>
          <w:rFonts w:ascii="Arial" w:hAnsi="Arial" w:cs="Arial"/>
        </w:rPr>
        <w:t xml:space="preserve"> </w:t>
      </w:r>
    </w:p>
    <w:p w14:paraId="3E5301CA" w14:textId="30757429" w:rsidR="00DE2B31" w:rsidRDefault="000B4CD8" w:rsidP="000B4CD8">
      <w:pPr>
        <w:pStyle w:val="NormalWeb"/>
        <w:rPr>
          <w:rFonts w:ascii="Arial" w:hAnsi="Arial" w:cs="Arial"/>
        </w:rPr>
      </w:pPr>
      <w:r w:rsidRPr="000B4CD8">
        <w:rPr>
          <w:rFonts w:ascii="Arial" w:hAnsi="Arial" w:cs="Arial"/>
        </w:rPr>
        <w:t>Primary</w:t>
      </w:r>
      <w:r w:rsidR="00A658CD">
        <w:rPr>
          <w:rFonts w:ascii="Arial" w:hAnsi="Arial" w:cs="Arial"/>
        </w:rPr>
        <w:t xml:space="preserve"> Results</w:t>
      </w:r>
    </w:p>
    <w:p w14:paraId="6A4C760D" w14:textId="311980AA" w:rsidR="000B4CD8" w:rsidRDefault="00985CED" w:rsidP="000B4CD8">
      <w:pPr>
        <w:pStyle w:val="NormalWeb"/>
        <w:rPr>
          <w:rFonts w:ascii="Arial" w:hAnsi="Arial" w:cs="Arial"/>
        </w:rPr>
      </w:pPr>
      <w:r>
        <w:rPr>
          <w:rFonts w:ascii="Arial" w:hAnsi="Arial" w:cs="Arial"/>
        </w:rPr>
        <w:t>T</w:t>
      </w:r>
      <w:r w:rsidR="00C7391F">
        <w:rPr>
          <w:rFonts w:ascii="Arial" w:hAnsi="Arial" w:cs="Arial"/>
        </w:rPr>
        <w:t>he results</w:t>
      </w:r>
      <w:r>
        <w:rPr>
          <w:rFonts w:ascii="Arial" w:hAnsi="Arial" w:cs="Arial"/>
        </w:rPr>
        <w:t xml:space="preserve"> were summarized in Figure 1. </w:t>
      </w:r>
      <w:r w:rsidR="000B4CD8" w:rsidRPr="000B4CD8">
        <w:rPr>
          <w:rFonts w:ascii="Arial" w:hAnsi="Arial" w:cs="Arial" w:hint="eastAsia"/>
        </w:rPr>
        <w:t>G</w:t>
      </w:r>
      <w:r w:rsidR="000B4CD8" w:rsidRPr="000B4CD8">
        <w:rPr>
          <w:rFonts w:ascii="Arial" w:hAnsi="Arial" w:cs="Arial"/>
        </w:rPr>
        <w:t>LP-1RA use was associated with reduced risk of MACE (HR 0.7</w:t>
      </w:r>
      <w:r w:rsidR="005C4405">
        <w:rPr>
          <w:rFonts w:ascii="Arial" w:hAnsi="Arial" w:cs="Arial"/>
        </w:rPr>
        <w:t>6</w:t>
      </w:r>
      <w:r w:rsidR="000B4CD8" w:rsidRPr="000B4CD8">
        <w:rPr>
          <w:rFonts w:ascii="Arial" w:hAnsi="Arial" w:cs="Arial"/>
        </w:rPr>
        <w:t>; 95% CI, 0.7</w:t>
      </w:r>
      <w:r w:rsidR="005C4405">
        <w:rPr>
          <w:rFonts w:ascii="Arial" w:hAnsi="Arial" w:cs="Arial"/>
        </w:rPr>
        <w:t>2</w:t>
      </w:r>
      <w:r w:rsidR="000B4CD8" w:rsidRPr="000B4CD8">
        <w:rPr>
          <w:rFonts w:ascii="Arial" w:hAnsi="Arial" w:cs="Arial"/>
        </w:rPr>
        <w:t>–0.</w:t>
      </w:r>
      <w:r w:rsidR="005C4405">
        <w:rPr>
          <w:rFonts w:ascii="Arial" w:hAnsi="Arial" w:cs="Arial"/>
        </w:rPr>
        <w:t>81</w:t>
      </w:r>
      <w:r w:rsidR="000B4CD8" w:rsidRPr="000B4CD8">
        <w:rPr>
          <w:rFonts w:ascii="Arial" w:hAnsi="Arial" w:cs="Arial"/>
        </w:rPr>
        <w:t>), MAKE (HR 0.64; 95% CI, 0.55–0.7</w:t>
      </w:r>
      <w:r w:rsidR="005C4405">
        <w:rPr>
          <w:rFonts w:ascii="Arial" w:hAnsi="Arial" w:cs="Arial"/>
        </w:rPr>
        <w:t>4</w:t>
      </w:r>
      <w:r w:rsidR="000B4CD8" w:rsidRPr="000B4CD8">
        <w:rPr>
          <w:rFonts w:ascii="Arial" w:hAnsi="Arial" w:cs="Arial"/>
        </w:rPr>
        <w:t>), and all-cause mortality (HR 0.4</w:t>
      </w:r>
      <w:r w:rsidR="005C4405">
        <w:rPr>
          <w:rFonts w:ascii="Arial" w:hAnsi="Arial" w:cs="Arial"/>
        </w:rPr>
        <w:t>9</w:t>
      </w:r>
      <w:r w:rsidR="000B4CD8" w:rsidRPr="000B4CD8">
        <w:rPr>
          <w:rFonts w:ascii="Arial" w:hAnsi="Arial" w:cs="Arial"/>
        </w:rPr>
        <w:t>; 95% CI, 0.</w:t>
      </w:r>
      <w:r w:rsidR="005C4405">
        <w:rPr>
          <w:rFonts w:ascii="Arial" w:hAnsi="Arial" w:cs="Arial"/>
        </w:rPr>
        <w:t>42</w:t>
      </w:r>
      <w:r w:rsidR="000B4CD8" w:rsidRPr="000B4CD8">
        <w:rPr>
          <w:rFonts w:ascii="Arial" w:hAnsi="Arial" w:cs="Arial"/>
        </w:rPr>
        <w:t>–0.</w:t>
      </w:r>
      <w:r w:rsidR="005C4405">
        <w:rPr>
          <w:rFonts w:ascii="Arial" w:hAnsi="Arial" w:cs="Arial"/>
        </w:rPr>
        <w:t>5</w:t>
      </w:r>
      <w:r w:rsidR="000B4CD8" w:rsidRPr="000B4CD8">
        <w:rPr>
          <w:rFonts w:ascii="Arial" w:hAnsi="Arial" w:cs="Arial"/>
        </w:rPr>
        <w:t xml:space="preserve">7). </w:t>
      </w:r>
      <w:r w:rsidR="00A658CD">
        <w:rPr>
          <w:rFonts w:ascii="Arial" w:hAnsi="Arial" w:cs="Arial"/>
        </w:rPr>
        <w:t xml:space="preserve"> </w:t>
      </w:r>
      <w:r w:rsidR="000B4CD8" w:rsidRPr="000B4CD8">
        <w:rPr>
          <w:rFonts w:ascii="Arial" w:hAnsi="Arial" w:cs="Arial"/>
        </w:rPr>
        <w:t>GLP-1RA users had lower risks of acute coronary syndrome (HR 0.7</w:t>
      </w:r>
      <w:r w:rsidR="005C4405">
        <w:rPr>
          <w:rFonts w:ascii="Arial" w:hAnsi="Arial" w:cs="Arial"/>
        </w:rPr>
        <w:t>0</w:t>
      </w:r>
      <w:r w:rsidR="000B4CD8" w:rsidRPr="000B4CD8">
        <w:rPr>
          <w:rFonts w:ascii="Arial" w:hAnsi="Arial" w:cs="Arial"/>
        </w:rPr>
        <w:t>), heart failure (HR 0.8</w:t>
      </w:r>
      <w:r w:rsidR="005C4405">
        <w:rPr>
          <w:rFonts w:ascii="Arial" w:hAnsi="Arial" w:cs="Arial"/>
        </w:rPr>
        <w:t>1</w:t>
      </w:r>
      <w:r w:rsidR="000B4CD8" w:rsidRPr="000B4CD8">
        <w:rPr>
          <w:rFonts w:ascii="Arial" w:hAnsi="Arial" w:cs="Arial"/>
        </w:rPr>
        <w:t>), stroke (HR 0.</w:t>
      </w:r>
      <w:r w:rsidR="005C4405">
        <w:rPr>
          <w:rFonts w:ascii="Arial" w:hAnsi="Arial" w:cs="Arial"/>
        </w:rPr>
        <w:t>66</w:t>
      </w:r>
      <w:r w:rsidR="000B4CD8" w:rsidRPr="000B4CD8">
        <w:rPr>
          <w:rFonts w:ascii="Arial" w:hAnsi="Arial" w:cs="Arial"/>
        </w:rPr>
        <w:t>), and acute kidney injury (HR 0.</w:t>
      </w:r>
      <w:r w:rsidR="005C4405">
        <w:rPr>
          <w:rFonts w:ascii="Arial" w:hAnsi="Arial" w:cs="Arial"/>
        </w:rPr>
        <w:t>74</w:t>
      </w:r>
      <w:r w:rsidR="000B4CD8" w:rsidRPr="000B4CD8">
        <w:rPr>
          <w:rFonts w:ascii="Arial" w:hAnsi="Arial" w:cs="Arial"/>
        </w:rPr>
        <w:t>). Mental health outcomes were also improved: depression (HR 0.6</w:t>
      </w:r>
      <w:r w:rsidR="005C4405">
        <w:rPr>
          <w:rFonts w:ascii="Arial" w:hAnsi="Arial" w:cs="Arial"/>
        </w:rPr>
        <w:t>3</w:t>
      </w:r>
      <w:r w:rsidR="000B4CD8" w:rsidRPr="000B4CD8">
        <w:rPr>
          <w:rFonts w:ascii="Arial" w:hAnsi="Arial" w:cs="Arial"/>
        </w:rPr>
        <w:t>), suicidal ideation/attempt (HR 0.</w:t>
      </w:r>
      <w:r w:rsidR="005C4405">
        <w:rPr>
          <w:rFonts w:ascii="Arial" w:hAnsi="Arial" w:cs="Arial"/>
        </w:rPr>
        <w:t>42</w:t>
      </w:r>
      <w:r w:rsidR="000B4CD8" w:rsidRPr="000B4CD8">
        <w:rPr>
          <w:rFonts w:ascii="Arial" w:hAnsi="Arial" w:cs="Arial"/>
        </w:rPr>
        <w:t>), and substance use disorder (HR 0.5</w:t>
      </w:r>
      <w:r w:rsidR="005C4405">
        <w:rPr>
          <w:rFonts w:ascii="Arial" w:hAnsi="Arial" w:cs="Arial"/>
        </w:rPr>
        <w:t>8</w:t>
      </w:r>
      <w:r w:rsidR="000B4CD8" w:rsidRPr="000B4CD8">
        <w:rPr>
          <w:rFonts w:ascii="Arial" w:hAnsi="Arial" w:cs="Arial"/>
        </w:rPr>
        <w:t>). No significant differences were observed for</w:t>
      </w:r>
      <w:r w:rsidR="005C4405">
        <w:rPr>
          <w:rFonts w:ascii="Arial" w:hAnsi="Arial" w:cs="Arial"/>
        </w:rPr>
        <w:t xml:space="preserve"> risks of</w:t>
      </w:r>
      <w:r w:rsidR="000B4CD8" w:rsidRPr="000B4CD8">
        <w:rPr>
          <w:rFonts w:ascii="Arial" w:hAnsi="Arial" w:cs="Arial"/>
        </w:rPr>
        <w:t xml:space="preserve"> pancreatitis (HR 1.1</w:t>
      </w:r>
      <w:r w:rsidR="005C4405">
        <w:rPr>
          <w:rFonts w:ascii="Arial" w:hAnsi="Arial" w:cs="Arial"/>
        </w:rPr>
        <w:t>7</w:t>
      </w:r>
      <w:r w:rsidR="000B4CD8" w:rsidRPr="000B4CD8">
        <w:rPr>
          <w:rFonts w:ascii="Arial" w:hAnsi="Arial" w:cs="Arial"/>
        </w:rPr>
        <w:t xml:space="preserve">) or </w:t>
      </w:r>
      <w:r w:rsidR="005C4405" w:rsidRPr="0051536B">
        <w:rPr>
          <w:rFonts w:ascii="Arial" w:hAnsi="Arial" w:cs="Arial"/>
        </w:rPr>
        <w:t>gastrointestinal</w:t>
      </w:r>
      <w:r w:rsidR="005C4405" w:rsidRPr="000B4CD8">
        <w:rPr>
          <w:rFonts w:ascii="Arial" w:hAnsi="Arial" w:cs="Arial"/>
        </w:rPr>
        <w:t xml:space="preserve"> </w:t>
      </w:r>
      <w:r w:rsidR="000B4CD8" w:rsidRPr="000B4CD8">
        <w:rPr>
          <w:rFonts w:ascii="Arial" w:hAnsi="Arial" w:cs="Arial"/>
        </w:rPr>
        <w:t xml:space="preserve">symptoms (HR </w:t>
      </w:r>
      <w:r w:rsidR="005C4405">
        <w:rPr>
          <w:rFonts w:ascii="Arial" w:hAnsi="Arial" w:cs="Arial"/>
        </w:rPr>
        <w:t>0.99</w:t>
      </w:r>
      <w:r w:rsidR="000B4CD8" w:rsidRPr="000B4CD8">
        <w:rPr>
          <w:rFonts w:ascii="Arial" w:hAnsi="Arial" w:cs="Arial"/>
        </w:rPr>
        <w:t>)</w:t>
      </w:r>
      <w:r w:rsidR="005C4405">
        <w:rPr>
          <w:rFonts w:ascii="Arial" w:hAnsi="Arial" w:cs="Arial"/>
        </w:rPr>
        <w:t xml:space="preserve"> and </w:t>
      </w:r>
      <w:r w:rsidR="000B4CD8" w:rsidRPr="000B4CD8">
        <w:rPr>
          <w:rFonts w:ascii="Arial" w:hAnsi="Arial" w:cs="Arial"/>
        </w:rPr>
        <w:t>Hypoglycemia (HR 1.</w:t>
      </w:r>
      <w:r w:rsidR="005C4405">
        <w:rPr>
          <w:rFonts w:ascii="Arial" w:hAnsi="Arial" w:cs="Arial"/>
        </w:rPr>
        <w:t>08</w:t>
      </w:r>
      <w:r w:rsidR="000B4CD8" w:rsidRPr="000B4CD8">
        <w:rPr>
          <w:rFonts w:ascii="Arial" w:hAnsi="Arial" w:cs="Arial"/>
        </w:rPr>
        <w:t>).</w:t>
      </w:r>
    </w:p>
    <w:p w14:paraId="2409F29D" w14:textId="2A3BC3BF" w:rsidR="00985CED" w:rsidRPr="000B4CD8" w:rsidRDefault="00985CED" w:rsidP="000B4CD8">
      <w:pPr>
        <w:pStyle w:val="NormalWeb"/>
        <w:rPr>
          <w:rFonts w:ascii="Arial" w:hAnsi="Arial" w:cs="Arial"/>
        </w:rPr>
      </w:pPr>
      <w:r>
        <w:rPr>
          <w:rFonts w:ascii="Arial" w:hAnsi="Arial" w:cs="Arial"/>
        </w:rPr>
        <w:t>Sensitivity Analyses</w:t>
      </w:r>
    </w:p>
    <w:p w14:paraId="1259BB80" w14:textId="33CF7F7F" w:rsidR="000B4CD8" w:rsidRPr="000B4CD8" w:rsidRDefault="000B4CD8" w:rsidP="000B4CD8">
      <w:pPr>
        <w:pStyle w:val="NormalWeb"/>
        <w:rPr>
          <w:rFonts w:ascii="Arial" w:hAnsi="Arial" w:cs="Arial"/>
        </w:rPr>
      </w:pPr>
      <w:r w:rsidRPr="000B4CD8">
        <w:rPr>
          <w:rFonts w:ascii="Arial" w:hAnsi="Arial" w:cs="Arial"/>
        </w:rPr>
        <w:t>Results remained consistent when limited to one-year follow-up or to older adults. No associations were found for negative control outcomes, suggesting minimal unmeasured confounding.</w:t>
      </w:r>
    </w:p>
    <w:p w14:paraId="5872D827" w14:textId="5039FBE2" w:rsidR="00F12885" w:rsidRPr="00F12885" w:rsidRDefault="000B4CD8" w:rsidP="000B4CD8">
      <w:pPr>
        <w:pStyle w:val="NormalWeb"/>
        <w:rPr>
          <w:rFonts w:ascii="Arial" w:hAnsi="Arial" w:cs="Arial"/>
          <w:b/>
          <w:bCs/>
        </w:rPr>
      </w:pPr>
      <w:r w:rsidRPr="00F12885">
        <w:rPr>
          <w:rFonts w:ascii="Arial" w:hAnsi="Arial" w:cs="Arial"/>
          <w:b/>
          <w:bCs/>
        </w:rPr>
        <w:lastRenderedPageBreak/>
        <w:t>C</w:t>
      </w:r>
      <w:r w:rsidR="00F12885" w:rsidRPr="00F12885">
        <w:rPr>
          <w:rFonts w:ascii="Arial" w:hAnsi="Arial" w:cs="Arial"/>
          <w:b/>
          <w:bCs/>
        </w:rPr>
        <w:t>onclusion</w:t>
      </w:r>
    </w:p>
    <w:p w14:paraId="177ACAC2" w14:textId="621B9D6A" w:rsidR="000B4CD8" w:rsidRDefault="000B4CD8" w:rsidP="000B4CD8">
      <w:pPr>
        <w:pStyle w:val="NormalWeb"/>
        <w:rPr>
          <w:rFonts w:ascii="Arial" w:hAnsi="Arial" w:cs="Arial"/>
        </w:rPr>
      </w:pPr>
      <w:r w:rsidRPr="000B4CD8">
        <w:rPr>
          <w:rFonts w:ascii="Arial" w:hAnsi="Arial" w:cs="Arial"/>
        </w:rPr>
        <w:t>In this large real-world study, GLP-1RAs were associated with lower risks of cardiovascular, kidney, mental health events, and mortality in obese adults without diabetes, with no major safety concerns. These findings support the expanded use of GLP-1RAs in obesity management beyond glycemic control.</w:t>
      </w:r>
    </w:p>
    <w:p w14:paraId="6658AEBB" w14:textId="77777777" w:rsidR="00985CED" w:rsidRPr="000B4CD8" w:rsidRDefault="00985CED" w:rsidP="000B4CD8">
      <w:pPr>
        <w:pStyle w:val="NormalWeb"/>
        <w:rPr>
          <w:rFonts w:ascii="Arial" w:hAnsi="Arial" w:cs="Arial"/>
        </w:rPr>
      </w:pPr>
    </w:p>
    <w:p w14:paraId="30AE9BF5" w14:textId="3271B919" w:rsidR="000B4CD8" w:rsidRPr="00A658CD" w:rsidRDefault="00A658CD" w:rsidP="00A658CD">
      <w:pPr>
        <w:jc w:val="center"/>
        <w:rPr>
          <w:rFonts w:ascii="Arial" w:hAnsi="Arial" w:cs="Arial"/>
          <w:b/>
          <w:bCs/>
        </w:rPr>
      </w:pPr>
      <w:r w:rsidRPr="00A658CD">
        <w:rPr>
          <w:rFonts w:ascii="Arial" w:hAnsi="Arial" w:cs="Arial"/>
          <w:b/>
          <w:bCs/>
        </w:rPr>
        <w:t>References</w:t>
      </w:r>
    </w:p>
    <w:p w14:paraId="41D139FB" w14:textId="77777777" w:rsidR="00E6002F" w:rsidRPr="00E6002F" w:rsidRDefault="00A658CD" w:rsidP="00E6002F">
      <w:pPr>
        <w:pStyle w:val="Bibliography"/>
        <w:rPr>
          <w:rFonts w:ascii="Arial" w:hAnsi="Arial" w:cs="Arial"/>
        </w:rPr>
      </w:pPr>
      <w:r>
        <w:fldChar w:fldCharType="begin"/>
      </w:r>
      <w:r w:rsidR="00E6002F">
        <w:instrText xml:space="preserve"> ADDIN ZOTERO_BIBL {"uncited":[],"omitted":[],"custom":[]} CSL_BIBLIOGRAPHY </w:instrText>
      </w:r>
      <w:r>
        <w:fldChar w:fldCharType="separate"/>
      </w:r>
      <w:r w:rsidR="00E6002F" w:rsidRPr="00E6002F">
        <w:rPr>
          <w:rFonts w:ascii="Arial" w:hAnsi="Arial" w:cs="Arial"/>
        </w:rPr>
        <w:t>1.</w:t>
      </w:r>
      <w:r w:rsidR="00E6002F" w:rsidRPr="00E6002F">
        <w:rPr>
          <w:rFonts w:ascii="Arial" w:hAnsi="Arial" w:cs="Arial"/>
        </w:rPr>
        <w:tab/>
        <w:t>World Health Organization. Obesity and overweight. 2025. Accessed February 21, 2025. https://www.who.int/news-room/fact-sheets/detail/obesity-and-overweight</w:t>
      </w:r>
    </w:p>
    <w:p w14:paraId="12AA1E50" w14:textId="77777777" w:rsidR="00E6002F" w:rsidRPr="00E6002F" w:rsidRDefault="00E6002F" w:rsidP="00E6002F">
      <w:pPr>
        <w:pStyle w:val="Bibliography"/>
        <w:rPr>
          <w:rFonts w:ascii="Arial" w:hAnsi="Arial" w:cs="Arial"/>
        </w:rPr>
      </w:pPr>
      <w:r w:rsidRPr="00E6002F">
        <w:rPr>
          <w:rFonts w:ascii="Arial" w:hAnsi="Arial" w:cs="Arial"/>
        </w:rPr>
        <w:t>2.</w:t>
      </w:r>
      <w:r w:rsidRPr="00E6002F">
        <w:rPr>
          <w:rFonts w:ascii="Arial" w:hAnsi="Arial" w:cs="Arial"/>
        </w:rPr>
        <w:tab/>
        <w:t xml:space="preserve">Powell-Wiley TM, Poirier P, Burke LE, et al. Obesity and Cardiovascular Disease: A Scientific Statement From the American Heart Association. </w:t>
      </w:r>
      <w:r w:rsidRPr="00E6002F">
        <w:rPr>
          <w:rFonts w:ascii="Arial" w:hAnsi="Arial" w:cs="Arial"/>
          <w:i/>
          <w:iCs/>
        </w:rPr>
        <w:t>Circulation</w:t>
      </w:r>
      <w:r w:rsidRPr="00E6002F">
        <w:rPr>
          <w:rFonts w:ascii="Arial" w:hAnsi="Arial" w:cs="Arial"/>
        </w:rPr>
        <w:t>. 2021;143(21):e984-e1010. doi:10.1161/CIR.0000000000000973</w:t>
      </w:r>
    </w:p>
    <w:p w14:paraId="2359AB85" w14:textId="77777777" w:rsidR="00E6002F" w:rsidRPr="00E6002F" w:rsidRDefault="00E6002F" w:rsidP="00E6002F">
      <w:pPr>
        <w:pStyle w:val="Bibliography"/>
        <w:rPr>
          <w:rFonts w:ascii="Arial" w:hAnsi="Arial" w:cs="Arial"/>
        </w:rPr>
      </w:pPr>
      <w:r w:rsidRPr="00E6002F">
        <w:rPr>
          <w:rFonts w:ascii="Arial" w:hAnsi="Arial" w:cs="Arial"/>
        </w:rPr>
        <w:t>3.</w:t>
      </w:r>
      <w:r w:rsidRPr="00E6002F">
        <w:rPr>
          <w:rFonts w:ascii="Arial" w:hAnsi="Arial" w:cs="Arial"/>
        </w:rPr>
        <w:tab/>
        <w:t xml:space="preserve">Field AE, Coakley EH, Must A, et al. Impact of Overweight on the Risk of Developing Common Chronic Diseases During a 10-Year Period. </w:t>
      </w:r>
      <w:r w:rsidRPr="00E6002F">
        <w:rPr>
          <w:rFonts w:ascii="Arial" w:hAnsi="Arial" w:cs="Arial"/>
          <w:i/>
          <w:iCs/>
        </w:rPr>
        <w:t>Arch Intern Med</w:t>
      </w:r>
      <w:r w:rsidRPr="00E6002F">
        <w:rPr>
          <w:rFonts w:ascii="Arial" w:hAnsi="Arial" w:cs="Arial"/>
        </w:rPr>
        <w:t>. 2001;161(13):1581-1586. doi:10.1001/archinte.161.13.1581</w:t>
      </w:r>
    </w:p>
    <w:p w14:paraId="4215D998" w14:textId="77777777" w:rsidR="00E6002F" w:rsidRPr="00E6002F" w:rsidRDefault="00E6002F" w:rsidP="00E6002F">
      <w:pPr>
        <w:pStyle w:val="Bibliography"/>
        <w:rPr>
          <w:rFonts w:ascii="Arial" w:hAnsi="Arial" w:cs="Arial"/>
        </w:rPr>
      </w:pPr>
      <w:r w:rsidRPr="00E6002F">
        <w:rPr>
          <w:rFonts w:ascii="Arial" w:hAnsi="Arial" w:cs="Arial"/>
        </w:rPr>
        <w:t>4.</w:t>
      </w:r>
      <w:r w:rsidRPr="00E6002F">
        <w:rPr>
          <w:rFonts w:ascii="Arial" w:hAnsi="Arial" w:cs="Arial"/>
        </w:rPr>
        <w:tab/>
        <w:t xml:space="preserve">Kivimäki M, Strandberg T, Pentti J, et al. Body-mass index and risk of obesity-related complex multimorbidity: an observational multicohort study. </w:t>
      </w:r>
      <w:r w:rsidRPr="00E6002F">
        <w:rPr>
          <w:rFonts w:ascii="Arial" w:hAnsi="Arial" w:cs="Arial"/>
          <w:i/>
          <w:iCs/>
        </w:rPr>
        <w:t>Lancet Diabetes Endocrinol</w:t>
      </w:r>
      <w:r w:rsidRPr="00E6002F">
        <w:rPr>
          <w:rFonts w:ascii="Arial" w:hAnsi="Arial" w:cs="Arial"/>
        </w:rPr>
        <w:t>. 2022;10(4):253-263. doi:10.1016/S2213-8587(22)00033-X</w:t>
      </w:r>
    </w:p>
    <w:p w14:paraId="5B49729C" w14:textId="77777777" w:rsidR="00E6002F" w:rsidRPr="00E6002F" w:rsidRDefault="00E6002F" w:rsidP="00E6002F">
      <w:pPr>
        <w:pStyle w:val="Bibliography"/>
        <w:rPr>
          <w:rFonts w:ascii="Arial" w:hAnsi="Arial" w:cs="Arial"/>
        </w:rPr>
      </w:pPr>
      <w:r w:rsidRPr="00E6002F">
        <w:rPr>
          <w:rFonts w:ascii="Arial" w:hAnsi="Arial" w:cs="Arial"/>
        </w:rPr>
        <w:t>5.</w:t>
      </w:r>
      <w:r w:rsidRPr="00E6002F">
        <w:rPr>
          <w:rFonts w:ascii="Arial" w:hAnsi="Arial" w:cs="Arial"/>
        </w:rPr>
        <w:tab/>
        <w:t xml:space="preserve">Wilding JPH, Batterham RL, Calanna S, et al. Once-Weekly Semaglutide in Adults with Overweight or Obesity. </w:t>
      </w:r>
      <w:r w:rsidRPr="00E6002F">
        <w:rPr>
          <w:rFonts w:ascii="Arial" w:hAnsi="Arial" w:cs="Arial"/>
          <w:i/>
          <w:iCs/>
        </w:rPr>
        <w:t>N Engl J Med</w:t>
      </w:r>
      <w:r w:rsidRPr="00E6002F">
        <w:rPr>
          <w:rFonts w:ascii="Arial" w:hAnsi="Arial" w:cs="Arial"/>
        </w:rPr>
        <w:t>. 2021;384(11):989-1002. doi:10.1056/NEJMoa2032183</w:t>
      </w:r>
    </w:p>
    <w:p w14:paraId="2BBEB512" w14:textId="77777777" w:rsidR="00E6002F" w:rsidRPr="00E6002F" w:rsidRDefault="00E6002F" w:rsidP="00E6002F">
      <w:pPr>
        <w:pStyle w:val="Bibliography"/>
        <w:rPr>
          <w:rFonts w:ascii="Arial" w:hAnsi="Arial" w:cs="Arial"/>
        </w:rPr>
      </w:pPr>
      <w:r w:rsidRPr="00E6002F">
        <w:rPr>
          <w:rFonts w:ascii="Arial" w:hAnsi="Arial" w:cs="Arial"/>
        </w:rPr>
        <w:t>6.</w:t>
      </w:r>
      <w:r w:rsidRPr="00E6002F">
        <w:rPr>
          <w:rFonts w:ascii="Arial" w:hAnsi="Arial" w:cs="Arial"/>
        </w:rPr>
        <w:tab/>
        <w:t xml:space="preserve">Jastreboff AM, le Roux CW, Stefanski A, et al. Tirzepatide for Obesity Treatment and Diabetes Prevention. </w:t>
      </w:r>
      <w:r w:rsidRPr="00E6002F">
        <w:rPr>
          <w:rFonts w:ascii="Arial" w:hAnsi="Arial" w:cs="Arial"/>
          <w:i/>
          <w:iCs/>
        </w:rPr>
        <w:t>N Engl J Med</w:t>
      </w:r>
      <w:r w:rsidRPr="00E6002F">
        <w:rPr>
          <w:rFonts w:ascii="Arial" w:hAnsi="Arial" w:cs="Arial"/>
        </w:rPr>
        <w:t>. Published online November 13, 2024. doi:10.1056/NEJMoa2410819</w:t>
      </w:r>
    </w:p>
    <w:p w14:paraId="4E354AAE" w14:textId="77777777" w:rsidR="00E6002F" w:rsidRPr="00E6002F" w:rsidRDefault="00E6002F" w:rsidP="00E6002F">
      <w:pPr>
        <w:pStyle w:val="Bibliography"/>
        <w:rPr>
          <w:rFonts w:ascii="Arial" w:hAnsi="Arial" w:cs="Arial"/>
        </w:rPr>
      </w:pPr>
      <w:r w:rsidRPr="00E6002F">
        <w:rPr>
          <w:rFonts w:ascii="Arial" w:hAnsi="Arial" w:cs="Arial"/>
        </w:rPr>
        <w:t>7.</w:t>
      </w:r>
      <w:r w:rsidRPr="00E6002F">
        <w:rPr>
          <w:rFonts w:ascii="Arial" w:hAnsi="Arial" w:cs="Arial"/>
        </w:rPr>
        <w:tab/>
        <w:t xml:space="preserve">Garvey WT, Frias JP, Jastreboff AM, et al. Tirzepatide once weekly for the treatment of obesity in people with type 2 diabetes (SURMOUNT-2): a double-blind, randomised, multicentre, placebo-controlled, phase 3 trial. </w:t>
      </w:r>
      <w:r w:rsidRPr="00E6002F">
        <w:rPr>
          <w:rFonts w:ascii="Arial" w:hAnsi="Arial" w:cs="Arial"/>
          <w:i/>
          <w:iCs/>
        </w:rPr>
        <w:t>Lancet Lond Engl</w:t>
      </w:r>
      <w:r w:rsidRPr="00E6002F">
        <w:rPr>
          <w:rFonts w:ascii="Arial" w:hAnsi="Arial" w:cs="Arial"/>
        </w:rPr>
        <w:t>. 2023;402(10402):613-626. doi:10.1016/S0140-6736(23)01200-X</w:t>
      </w:r>
    </w:p>
    <w:p w14:paraId="6D7ED890" w14:textId="77777777" w:rsidR="00E6002F" w:rsidRPr="00E6002F" w:rsidRDefault="00E6002F" w:rsidP="00E6002F">
      <w:pPr>
        <w:pStyle w:val="Bibliography"/>
        <w:rPr>
          <w:rFonts w:ascii="Arial" w:hAnsi="Arial" w:cs="Arial"/>
        </w:rPr>
      </w:pPr>
      <w:r w:rsidRPr="00E6002F">
        <w:rPr>
          <w:rFonts w:ascii="Arial" w:hAnsi="Arial" w:cs="Arial"/>
        </w:rPr>
        <w:t>8.</w:t>
      </w:r>
      <w:r w:rsidRPr="00E6002F">
        <w:rPr>
          <w:rFonts w:ascii="Arial" w:hAnsi="Arial" w:cs="Arial"/>
        </w:rPr>
        <w:tab/>
        <w:t xml:space="preserve">Palchuk MB, London JW, Perez-Rey D, et al. A global federated real-world data and analytics platform for research. </w:t>
      </w:r>
      <w:r w:rsidRPr="00E6002F">
        <w:rPr>
          <w:rFonts w:ascii="Arial" w:hAnsi="Arial" w:cs="Arial"/>
          <w:i/>
          <w:iCs/>
        </w:rPr>
        <w:t>JAMIA Open</w:t>
      </w:r>
      <w:r w:rsidRPr="00E6002F">
        <w:rPr>
          <w:rFonts w:ascii="Arial" w:hAnsi="Arial" w:cs="Arial"/>
        </w:rPr>
        <w:t>. 2023;6(2):ooad035. doi:10.1093/jamiaopen/ooad035</w:t>
      </w:r>
    </w:p>
    <w:p w14:paraId="7D7E95B9" w14:textId="364706F9" w:rsidR="00A658CD" w:rsidRPr="000B4CD8" w:rsidRDefault="00A658CD" w:rsidP="00E6002F">
      <w:pPr>
        <w:pStyle w:val="Bibliography"/>
        <w:rPr>
          <w:rFonts w:ascii="Arial" w:hAnsi="Arial" w:cs="Arial"/>
        </w:rPr>
      </w:pPr>
      <w:r>
        <w:rPr>
          <w:rFonts w:ascii="Arial" w:hAnsi="Arial" w:cs="Arial"/>
        </w:rPr>
        <w:fldChar w:fldCharType="end"/>
      </w:r>
    </w:p>
    <w:sectPr w:rsidR="00A658CD" w:rsidRPr="000B4C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0A60DC"/>
    <w:multiLevelType w:val="hybridMultilevel"/>
    <w:tmpl w:val="2A3E00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53833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CD8"/>
    <w:rsid w:val="000B4CD8"/>
    <w:rsid w:val="00116ED6"/>
    <w:rsid w:val="00392EE1"/>
    <w:rsid w:val="0050782A"/>
    <w:rsid w:val="0051536B"/>
    <w:rsid w:val="005C4405"/>
    <w:rsid w:val="005E514F"/>
    <w:rsid w:val="005E7ED6"/>
    <w:rsid w:val="0065279A"/>
    <w:rsid w:val="00691B22"/>
    <w:rsid w:val="00755732"/>
    <w:rsid w:val="00985CED"/>
    <w:rsid w:val="009B6AB0"/>
    <w:rsid w:val="009C304D"/>
    <w:rsid w:val="00A658CD"/>
    <w:rsid w:val="00AD172C"/>
    <w:rsid w:val="00B1672B"/>
    <w:rsid w:val="00C7391F"/>
    <w:rsid w:val="00C97BF5"/>
    <w:rsid w:val="00DE2B31"/>
    <w:rsid w:val="00E6002F"/>
    <w:rsid w:val="00F12885"/>
    <w:rsid w:val="00F45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D5D60"/>
  <w15:chartTrackingRefBased/>
  <w15:docId w15:val="{7C37356B-B897-7E41-AA6D-D8F31D35A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4C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4C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4C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4C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4C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4C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4C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4C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4C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4C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4C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4C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4C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4C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4C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4C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4C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4CD8"/>
    <w:rPr>
      <w:rFonts w:eastAsiaTheme="majorEastAsia" w:cstheme="majorBidi"/>
      <w:color w:val="272727" w:themeColor="text1" w:themeTint="D8"/>
    </w:rPr>
  </w:style>
  <w:style w:type="paragraph" w:styleId="Title">
    <w:name w:val="Title"/>
    <w:basedOn w:val="Normal"/>
    <w:next w:val="Normal"/>
    <w:link w:val="TitleChar"/>
    <w:uiPriority w:val="10"/>
    <w:qFormat/>
    <w:rsid w:val="000B4C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4C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4C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4C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4CD8"/>
    <w:pPr>
      <w:spacing w:before="160"/>
      <w:jc w:val="center"/>
    </w:pPr>
    <w:rPr>
      <w:i/>
      <w:iCs/>
      <w:color w:val="404040" w:themeColor="text1" w:themeTint="BF"/>
    </w:rPr>
  </w:style>
  <w:style w:type="character" w:customStyle="1" w:styleId="QuoteChar">
    <w:name w:val="Quote Char"/>
    <w:basedOn w:val="DefaultParagraphFont"/>
    <w:link w:val="Quote"/>
    <w:uiPriority w:val="29"/>
    <w:rsid w:val="000B4CD8"/>
    <w:rPr>
      <w:i/>
      <w:iCs/>
      <w:color w:val="404040" w:themeColor="text1" w:themeTint="BF"/>
    </w:rPr>
  </w:style>
  <w:style w:type="paragraph" w:styleId="ListParagraph">
    <w:name w:val="List Paragraph"/>
    <w:basedOn w:val="Normal"/>
    <w:uiPriority w:val="34"/>
    <w:qFormat/>
    <w:rsid w:val="000B4CD8"/>
    <w:pPr>
      <w:ind w:left="720"/>
      <w:contextualSpacing/>
    </w:pPr>
  </w:style>
  <w:style w:type="character" w:styleId="IntenseEmphasis">
    <w:name w:val="Intense Emphasis"/>
    <w:basedOn w:val="DefaultParagraphFont"/>
    <w:uiPriority w:val="21"/>
    <w:qFormat/>
    <w:rsid w:val="000B4CD8"/>
    <w:rPr>
      <w:i/>
      <w:iCs/>
      <w:color w:val="0F4761" w:themeColor="accent1" w:themeShade="BF"/>
    </w:rPr>
  </w:style>
  <w:style w:type="paragraph" w:styleId="IntenseQuote">
    <w:name w:val="Intense Quote"/>
    <w:basedOn w:val="Normal"/>
    <w:next w:val="Normal"/>
    <w:link w:val="IntenseQuoteChar"/>
    <w:uiPriority w:val="30"/>
    <w:qFormat/>
    <w:rsid w:val="000B4C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4CD8"/>
    <w:rPr>
      <w:i/>
      <w:iCs/>
      <w:color w:val="0F4761" w:themeColor="accent1" w:themeShade="BF"/>
    </w:rPr>
  </w:style>
  <w:style w:type="character" w:styleId="IntenseReference">
    <w:name w:val="Intense Reference"/>
    <w:basedOn w:val="DefaultParagraphFont"/>
    <w:uiPriority w:val="32"/>
    <w:qFormat/>
    <w:rsid w:val="000B4CD8"/>
    <w:rPr>
      <w:b/>
      <w:bCs/>
      <w:smallCaps/>
      <w:color w:val="0F4761" w:themeColor="accent1" w:themeShade="BF"/>
      <w:spacing w:val="5"/>
    </w:rPr>
  </w:style>
  <w:style w:type="paragraph" w:styleId="NormalWeb">
    <w:name w:val="Normal (Web)"/>
    <w:basedOn w:val="Normal"/>
    <w:uiPriority w:val="99"/>
    <w:unhideWhenUsed/>
    <w:rsid w:val="000B4CD8"/>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Bibliography">
    <w:name w:val="Bibliography"/>
    <w:basedOn w:val="Normal"/>
    <w:next w:val="Normal"/>
    <w:uiPriority w:val="37"/>
    <w:unhideWhenUsed/>
    <w:rsid w:val="00A658CD"/>
    <w:pPr>
      <w:tabs>
        <w:tab w:val="left" w:pos="260"/>
      </w:tabs>
      <w:spacing w:after="240" w:line="240" w:lineRule="auto"/>
      <w:ind w:left="264" w:hanging="264"/>
    </w:pPr>
  </w:style>
  <w:style w:type="paragraph" w:customStyle="1" w:styleId="bv-p-translate">
    <w:name w:val="bv-p-translate"/>
    <w:basedOn w:val="Normal"/>
    <w:rsid w:val="00F453C6"/>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94611">
      <w:bodyDiv w:val="1"/>
      <w:marLeft w:val="0"/>
      <w:marRight w:val="0"/>
      <w:marTop w:val="0"/>
      <w:marBottom w:val="0"/>
      <w:divBdr>
        <w:top w:val="none" w:sz="0" w:space="0" w:color="auto"/>
        <w:left w:val="none" w:sz="0" w:space="0" w:color="auto"/>
        <w:bottom w:val="none" w:sz="0" w:space="0" w:color="auto"/>
        <w:right w:val="none" w:sz="0" w:space="0" w:color="auto"/>
      </w:divBdr>
    </w:div>
    <w:div w:id="867372765">
      <w:bodyDiv w:val="1"/>
      <w:marLeft w:val="0"/>
      <w:marRight w:val="0"/>
      <w:marTop w:val="0"/>
      <w:marBottom w:val="0"/>
      <w:divBdr>
        <w:top w:val="none" w:sz="0" w:space="0" w:color="auto"/>
        <w:left w:val="none" w:sz="0" w:space="0" w:color="auto"/>
        <w:bottom w:val="none" w:sz="0" w:space="0" w:color="auto"/>
        <w:right w:val="none" w:sz="0" w:space="0" w:color="auto"/>
      </w:divBdr>
    </w:div>
    <w:div w:id="1260261370">
      <w:bodyDiv w:val="1"/>
      <w:marLeft w:val="0"/>
      <w:marRight w:val="0"/>
      <w:marTop w:val="0"/>
      <w:marBottom w:val="0"/>
      <w:divBdr>
        <w:top w:val="none" w:sz="0" w:space="0" w:color="auto"/>
        <w:left w:val="none" w:sz="0" w:space="0" w:color="auto"/>
        <w:bottom w:val="none" w:sz="0" w:space="0" w:color="auto"/>
        <w:right w:val="none" w:sz="0" w:space="0" w:color="auto"/>
      </w:divBdr>
    </w:div>
    <w:div w:id="1767845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4</Pages>
  <Words>6239</Words>
  <Characters>35566</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Huilin Tang</dc:creator>
  <cp:keywords/>
  <dc:description/>
  <cp:lastModifiedBy>Huilin Tang</cp:lastModifiedBy>
  <cp:revision>7</cp:revision>
  <dcterms:created xsi:type="dcterms:W3CDTF">2025-06-26T21:39:00Z</dcterms:created>
  <dcterms:modified xsi:type="dcterms:W3CDTF">2025-09-17T18:06:00Z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id="Agig8OrS"/&gt;&lt;style id="http://www.zotero.org/styles/jama" hasBibliography="1" bibliographyStyleHasBeenSet="1"/&gt;&lt;prefs&gt;&lt;pref name="fieldType" value="Field"/&gt;&lt;pref name="automaticJournalAbbreviation</vt:lpwstr>
  </property>
  <property fmtid="{D5CDD505-2E9C-101B-9397-08002B2CF9AE}" pid="3" name="ZOTERO_PREF_2">
    <vt:lpwstr>s" value="true"/&gt;&lt;/prefs&gt;&lt;/data&gt;</vt:lpwstr>
  </property>
</Properties>
</file>