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6C61D57" w14:textId="222B6B79" w:rsidR="003F64D4" w:rsidRPr="00EB4110" w:rsidRDefault="00B81249">
      <w:pPr>
        <w:pBdr>
          <w:top w:val="nil"/>
          <w:left w:val="nil"/>
          <w:bottom w:val="nil"/>
          <w:right w:val="nil"/>
          <w:between w:val="nil"/>
        </w:pBdr>
        <w:spacing w:after="280"/>
        <w:jc w:val="center"/>
        <w:rPr>
          <w:rFonts w:ascii="Calibri" w:eastAsia="Calibri" w:hAnsi="Calibri" w:cs="Calibri" w:hint="eastAsia"/>
          <w:b/>
          <w:sz w:val="22"/>
          <w:szCs w:val="22"/>
          <w:vertAlign w:val="superscript"/>
        </w:rPr>
      </w:pPr>
      <w:r w:rsidRPr="00B81249">
        <w:rPr>
          <w:rFonts w:ascii="Calibri" w:eastAsia="Calibri" w:hAnsi="Calibri" w:cs="Calibri"/>
          <w:b/>
          <w:color w:val="000000"/>
          <w:sz w:val="28"/>
          <w:szCs w:val="28"/>
        </w:rPr>
        <w:t>Prediction of Hyperuricemia and Its Association with Renal failure, Cardiovascular Prognosis in Adults with Type 2 Diabetes mellitus</w:t>
      </w:r>
    </w:p>
    <w:p w14:paraId="7A716CC2" w14:textId="69F59375" w:rsidR="006F1457" w:rsidRDefault="006F1457">
      <w:pPr>
        <w:pBdr>
          <w:top w:val="nil"/>
          <w:left w:val="nil"/>
          <w:bottom w:val="nil"/>
          <w:right w:val="nil"/>
          <w:between w:val="nil"/>
        </w:pBdr>
        <w:jc w:val="center"/>
        <w:rPr>
          <w:rFonts w:ascii="Calibri" w:eastAsia="Calibri" w:hAnsi="Calibri" w:cs="Calibri"/>
          <w:b/>
          <w:sz w:val="22"/>
          <w:szCs w:val="22"/>
        </w:rPr>
      </w:pPr>
      <w:r>
        <w:rPr>
          <w:rFonts w:ascii="Calibri" w:eastAsia="Calibri" w:hAnsi="Calibri" w:cs="Calibri"/>
          <w:b/>
          <w:sz w:val="22"/>
          <w:szCs w:val="22"/>
        </w:rPr>
        <w:t>Sujin Gan</w:t>
      </w:r>
      <w:r w:rsidRPr="00593D61">
        <w:rPr>
          <w:rFonts w:ascii="Calibri" w:eastAsia="Calibri" w:hAnsi="Calibri" w:cs="Calibri"/>
          <w:b/>
          <w:sz w:val="22"/>
          <w:szCs w:val="22"/>
          <w:vertAlign w:val="superscript"/>
        </w:rPr>
        <w:t>1</w:t>
      </w:r>
      <w:r w:rsidR="006F40C5">
        <w:rPr>
          <w:rFonts w:ascii="Calibri" w:eastAsia="Calibri" w:hAnsi="Calibri" w:cs="Calibri"/>
          <w:b/>
          <w:sz w:val="22"/>
          <w:szCs w:val="22"/>
          <w:vertAlign w:val="superscript"/>
        </w:rPr>
        <w:t>,4,5</w:t>
      </w:r>
      <w:r>
        <w:rPr>
          <w:rFonts w:ascii="Calibri" w:eastAsia="Calibri" w:hAnsi="Calibri" w:cs="Calibri"/>
          <w:b/>
          <w:sz w:val="22"/>
          <w:szCs w:val="22"/>
        </w:rPr>
        <w:t>, Dong Yun Lee</w:t>
      </w:r>
      <w:r>
        <w:rPr>
          <w:rFonts w:ascii="Calibri" w:eastAsia="Calibri" w:hAnsi="Calibri" w:cs="Calibri"/>
          <w:b/>
          <w:sz w:val="22"/>
          <w:szCs w:val="22"/>
          <w:vertAlign w:val="superscript"/>
        </w:rPr>
        <w:t>2</w:t>
      </w:r>
      <w:r>
        <w:rPr>
          <w:rFonts w:ascii="Calibri" w:eastAsia="Calibri" w:hAnsi="Calibri" w:cs="Calibri" w:hint="eastAsia"/>
          <w:b/>
          <w:sz w:val="22"/>
          <w:szCs w:val="22"/>
          <w:vertAlign w:val="superscript"/>
        </w:rPr>
        <w:t>,3</w:t>
      </w:r>
      <w:r>
        <w:rPr>
          <w:rFonts w:ascii="Calibri" w:eastAsia="Calibri" w:hAnsi="Calibri" w:cs="Calibri"/>
          <w:b/>
          <w:sz w:val="22"/>
          <w:szCs w:val="22"/>
        </w:rPr>
        <w:t xml:space="preserve">, and Rae Woong </w:t>
      </w:r>
      <w:r w:rsidRPr="00593D61">
        <w:rPr>
          <w:rFonts w:ascii="Calibri" w:eastAsia="Calibri" w:hAnsi="Calibri" w:cs="Calibri"/>
          <w:b/>
          <w:sz w:val="22"/>
          <w:szCs w:val="22"/>
        </w:rPr>
        <w:t>Park</w:t>
      </w:r>
      <w:r w:rsidRPr="00593D61">
        <w:rPr>
          <w:rFonts w:ascii="Calibri" w:eastAsia="Calibri" w:hAnsi="Calibri" w:cs="Calibri"/>
          <w:b/>
          <w:sz w:val="22"/>
          <w:szCs w:val="22"/>
          <w:vertAlign w:val="superscript"/>
        </w:rPr>
        <w:t xml:space="preserve">1, </w:t>
      </w:r>
      <w:r>
        <w:rPr>
          <w:rFonts w:ascii="Calibri" w:eastAsia="Calibri" w:hAnsi="Calibri" w:cs="Calibri"/>
          <w:b/>
          <w:sz w:val="22"/>
          <w:szCs w:val="22"/>
          <w:vertAlign w:val="superscript"/>
        </w:rPr>
        <w:t>2</w:t>
      </w:r>
      <w:r w:rsidR="006F40C5">
        <w:rPr>
          <w:rFonts w:ascii="Calibri" w:eastAsia="Calibri" w:hAnsi="Calibri" w:cs="Calibri"/>
          <w:b/>
          <w:sz w:val="22"/>
          <w:szCs w:val="22"/>
          <w:vertAlign w:val="superscript"/>
        </w:rPr>
        <w:t>, 4, 5</w:t>
      </w:r>
      <w:r>
        <w:rPr>
          <w:rFonts w:ascii="Calibri" w:eastAsia="Calibri" w:hAnsi="Calibri" w:cs="Calibri"/>
          <w:b/>
          <w:sz w:val="22"/>
          <w:szCs w:val="22"/>
        </w:rPr>
        <w:t xml:space="preserve"> </w:t>
      </w:r>
    </w:p>
    <w:p w14:paraId="510E560F" w14:textId="77777777" w:rsidR="006F1457" w:rsidRDefault="006F1457" w:rsidP="006F1457">
      <w:pPr>
        <w:pBdr>
          <w:top w:val="nil"/>
          <w:left w:val="nil"/>
          <w:bottom w:val="nil"/>
          <w:right w:val="nil"/>
          <w:between w:val="nil"/>
        </w:pBdr>
        <w:jc w:val="center"/>
        <w:rPr>
          <w:rFonts w:ascii="Calibri" w:eastAsia="Calibri" w:hAnsi="Calibri" w:cs="Calibri"/>
          <w:b/>
          <w:sz w:val="22"/>
          <w:szCs w:val="22"/>
        </w:rPr>
      </w:pPr>
      <w:r w:rsidRPr="00593D61">
        <w:rPr>
          <w:rFonts w:ascii="Calibri" w:eastAsia="Calibri" w:hAnsi="Calibri" w:cs="Calibri"/>
          <w:b/>
          <w:sz w:val="22"/>
          <w:szCs w:val="22"/>
          <w:vertAlign w:val="superscript"/>
        </w:rPr>
        <w:t>1</w:t>
      </w:r>
      <w:r>
        <w:rPr>
          <w:rFonts w:ascii="Calibri" w:eastAsia="Calibri" w:hAnsi="Calibri" w:cs="Calibri"/>
          <w:b/>
          <w:sz w:val="22"/>
          <w:szCs w:val="22"/>
          <w:vertAlign w:val="superscript"/>
        </w:rPr>
        <w:t xml:space="preserve"> </w:t>
      </w:r>
      <w:r w:rsidRPr="0003543E">
        <w:rPr>
          <w:rFonts w:ascii="Calibri" w:eastAsia="Calibri" w:hAnsi="Calibri" w:cs="Calibri"/>
          <w:b/>
          <w:sz w:val="22"/>
          <w:szCs w:val="22"/>
        </w:rPr>
        <w:t xml:space="preserve">Department of Biomedical Sciences, </w:t>
      </w:r>
      <w:proofErr w:type="spellStart"/>
      <w:r w:rsidRPr="0003543E">
        <w:rPr>
          <w:rFonts w:ascii="Calibri" w:eastAsia="Calibri" w:hAnsi="Calibri" w:cs="Calibri"/>
          <w:b/>
          <w:sz w:val="22"/>
          <w:szCs w:val="22"/>
        </w:rPr>
        <w:t>Ajou</w:t>
      </w:r>
      <w:proofErr w:type="spellEnd"/>
      <w:r w:rsidRPr="0003543E">
        <w:rPr>
          <w:rFonts w:ascii="Calibri" w:eastAsia="Calibri" w:hAnsi="Calibri" w:cs="Calibri"/>
          <w:b/>
          <w:sz w:val="22"/>
          <w:szCs w:val="22"/>
        </w:rPr>
        <w:t xml:space="preserve"> University Graduate School of Medicine, Suwon, Korea</w:t>
      </w:r>
    </w:p>
    <w:p w14:paraId="2E085A10" w14:textId="77777777" w:rsidR="006F1457" w:rsidRDefault="006F1457" w:rsidP="006F1457">
      <w:pPr>
        <w:pBdr>
          <w:top w:val="nil"/>
          <w:left w:val="nil"/>
          <w:bottom w:val="nil"/>
          <w:right w:val="nil"/>
          <w:between w:val="nil"/>
        </w:pBdr>
        <w:jc w:val="center"/>
        <w:rPr>
          <w:rFonts w:ascii="Calibri" w:eastAsia="Calibri" w:hAnsi="Calibri" w:cs="Calibri"/>
          <w:b/>
          <w:sz w:val="22"/>
          <w:szCs w:val="22"/>
        </w:rPr>
      </w:pPr>
      <w:r>
        <w:rPr>
          <w:rFonts w:ascii="Calibri" w:eastAsia="Calibri" w:hAnsi="Calibri" w:cs="Calibri" w:hint="eastAsia"/>
          <w:b/>
          <w:sz w:val="22"/>
          <w:szCs w:val="22"/>
          <w:vertAlign w:val="superscript"/>
        </w:rPr>
        <w:t>2</w:t>
      </w:r>
      <w:r>
        <w:rPr>
          <w:rFonts w:ascii="Calibri" w:eastAsia="Calibri" w:hAnsi="Calibri" w:cs="Calibri"/>
          <w:b/>
          <w:sz w:val="22"/>
          <w:szCs w:val="22"/>
          <w:vertAlign w:val="superscript"/>
        </w:rPr>
        <w:t xml:space="preserve"> </w:t>
      </w:r>
      <w:r w:rsidRPr="0003543E">
        <w:rPr>
          <w:rFonts w:ascii="Calibri" w:eastAsia="Calibri" w:hAnsi="Calibri" w:cs="Calibri"/>
          <w:b/>
          <w:sz w:val="22"/>
          <w:szCs w:val="22"/>
        </w:rPr>
        <w:t xml:space="preserve">Department of Biomedical Informatics, </w:t>
      </w:r>
      <w:proofErr w:type="spellStart"/>
      <w:r w:rsidRPr="0003543E">
        <w:rPr>
          <w:rFonts w:ascii="Calibri" w:eastAsia="Calibri" w:hAnsi="Calibri" w:cs="Calibri"/>
          <w:b/>
          <w:sz w:val="22"/>
          <w:szCs w:val="22"/>
        </w:rPr>
        <w:t>Ajou</w:t>
      </w:r>
      <w:proofErr w:type="spellEnd"/>
      <w:r w:rsidRPr="0003543E">
        <w:rPr>
          <w:rFonts w:ascii="Calibri" w:eastAsia="Calibri" w:hAnsi="Calibri" w:cs="Calibri"/>
          <w:b/>
          <w:sz w:val="22"/>
          <w:szCs w:val="22"/>
        </w:rPr>
        <w:t xml:space="preserve"> University School of Medicine, Suwon, Korea</w:t>
      </w:r>
    </w:p>
    <w:p w14:paraId="3DD593EB" w14:textId="582090E6" w:rsidR="006F1457" w:rsidRPr="006F1457" w:rsidRDefault="006F1457" w:rsidP="006F1457">
      <w:pPr>
        <w:pBdr>
          <w:top w:val="nil"/>
          <w:left w:val="nil"/>
          <w:bottom w:val="nil"/>
          <w:right w:val="nil"/>
          <w:between w:val="nil"/>
        </w:pBdr>
        <w:jc w:val="center"/>
        <w:rPr>
          <w:rFonts w:ascii="Calibri" w:eastAsia="Calibri" w:hAnsi="Calibri" w:cs="Calibri"/>
          <w:b/>
          <w:sz w:val="22"/>
          <w:szCs w:val="22"/>
        </w:rPr>
      </w:pPr>
      <w:r>
        <w:rPr>
          <w:rFonts w:ascii="Calibri" w:eastAsia="Calibri" w:hAnsi="Calibri" w:cs="Calibri" w:hint="eastAsia"/>
          <w:b/>
          <w:sz w:val="22"/>
          <w:szCs w:val="22"/>
          <w:vertAlign w:val="superscript"/>
        </w:rPr>
        <w:t xml:space="preserve">3 </w:t>
      </w:r>
      <w:proofErr w:type="spellStart"/>
      <w:r w:rsidRPr="006F1457">
        <w:rPr>
          <w:rFonts w:ascii="Calibri" w:eastAsia="Calibri" w:hAnsi="Calibri" w:cs="Calibri"/>
          <w:b/>
          <w:sz w:val="22"/>
          <w:szCs w:val="22"/>
        </w:rPr>
        <w:t>Bongdam</w:t>
      </w:r>
      <w:proofErr w:type="spellEnd"/>
      <w:r w:rsidRPr="006F1457">
        <w:rPr>
          <w:rFonts w:ascii="Calibri" w:eastAsia="Calibri" w:hAnsi="Calibri" w:cs="Calibri"/>
          <w:b/>
          <w:sz w:val="22"/>
          <w:szCs w:val="22"/>
        </w:rPr>
        <w:t xml:space="preserve"> forest mental health clinic, </w:t>
      </w:r>
      <w:proofErr w:type="spellStart"/>
      <w:r w:rsidRPr="006F1457">
        <w:rPr>
          <w:rFonts w:ascii="Calibri" w:eastAsia="Calibri" w:hAnsi="Calibri" w:cs="Calibri"/>
          <w:b/>
          <w:sz w:val="22"/>
          <w:szCs w:val="22"/>
        </w:rPr>
        <w:t>Hwaseong</w:t>
      </w:r>
      <w:proofErr w:type="spellEnd"/>
      <w:r w:rsidRPr="006F1457">
        <w:rPr>
          <w:rFonts w:ascii="Calibri" w:eastAsia="Calibri" w:hAnsi="Calibri" w:cs="Calibri"/>
          <w:b/>
          <w:sz w:val="22"/>
          <w:szCs w:val="22"/>
        </w:rPr>
        <w:t>, Korea</w:t>
      </w:r>
    </w:p>
    <w:p w14:paraId="7471CC03" w14:textId="76AEE18D" w:rsidR="006F1457" w:rsidRDefault="006F1457" w:rsidP="006F1457">
      <w:pPr>
        <w:pBdr>
          <w:top w:val="nil"/>
          <w:left w:val="nil"/>
          <w:bottom w:val="nil"/>
          <w:right w:val="nil"/>
          <w:between w:val="nil"/>
        </w:pBdr>
        <w:jc w:val="center"/>
        <w:rPr>
          <w:rFonts w:ascii="Calibri" w:eastAsia="Calibri" w:hAnsi="Calibri" w:cs="Calibri"/>
          <w:b/>
          <w:sz w:val="22"/>
          <w:szCs w:val="22"/>
        </w:rPr>
      </w:pPr>
      <w:r>
        <w:rPr>
          <w:rFonts w:ascii="Calibri" w:eastAsia="Calibri" w:hAnsi="Calibri" w:cs="Calibri"/>
          <w:b/>
          <w:sz w:val="22"/>
          <w:szCs w:val="22"/>
          <w:vertAlign w:val="superscript"/>
        </w:rPr>
        <w:t xml:space="preserve">4 </w:t>
      </w:r>
      <w:r w:rsidRPr="006F1457">
        <w:rPr>
          <w:rFonts w:ascii="Calibri" w:eastAsia="Calibri" w:hAnsi="Calibri" w:cs="Calibri"/>
          <w:b/>
          <w:sz w:val="22"/>
          <w:szCs w:val="22"/>
        </w:rPr>
        <w:t xml:space="preserve">Center for Biomedical Informatics Research, </w:t>
      </w:r>
      <w:proofErr w:type="spellStart"/>
      <w:r w:rsidRPr="006F1457">
        <w:rPr>
          <w:rFonts w:ascii="Calibri" w:eastAsia="Calibri" w:hAnsi="Calibri" w:cs="Calibri"/>
          <w:b/>
          <w:sz w:val="22"/>
          <w:szCs w:val="22"/>
        </w:rPr>
        <w:t>Ajou</w:t>
      </w:r>
      <w:proofErr w:type="spellEnd"/>
      <w:r w:rsidRPr="006F1457">
        <w:rPr>
          <w:rFonts w:ascii="Calibri" w:eastAsia="Calibri" w:hAnsi="Calibri" w:cs="Calibri"/>
          <w:b/>
          <w:sz w:val="22"/>
          <w:szCs w:val="22"/>
        </w:rPr>
        <w:t xml:space="preserve"> University Medical Cen</w:t>
      </w:r>
      <w:r>
        <w:rPr>
          <w:rFonts w:ascii="Calibri" w:eastAsia="Calibri" w:hAnsi="Calibri" w:cs="Calibri"/>
          <w:b/>
          <w:sz w:val="22"/>
          <w:szCs w:val="22"/>
        </w:rPr>
        <w:t>t</w:t>
      </w:r>
      <w:r w:rsidRPr="006F1457">
        <w:rPr>
          <w:rFonts w:ascii="Calibri" w:eastAsia="Calibri" w:hAnsi="Calibri" w:cs="Calibri"/>
          <w:b/>
          <w:sz w:val="22"/>
          <w:szCs w:val="22"/>
        </w:rPr>
        <w:t>er, Suw</w:t>
      </w:r>
      <w:r>
        <w:rPr>
          <w:rFonts w:ascii="Calibri" w:eastAsia="Calibri" w:hAnsi="Calibri" w:cs="Calibri"/>
          <w:b/>
          <w:sz w:val="22"/>
          <w:szCs w:val="22"/>
        </w:rPr>
        <w:t>o</w:t>
      </w:r>
      <w:r w:rsidRPr="006F1457">
        <w:rPr>
          <w:rFonts w:ascii="Calibri" w:eastAsia="Calibri" w:hAnsi="Calibri" w:cs="Calibri"/>
          <w:b/>
          <w:sz w:val="22"/>
          <w:szCs w:val="22"/>
        </w:rPr>
        <w:t xml:space="preserve">n, </w:t>
      </w:r>
      <w:r>
        <w:rPr>
          <w:rFonts w:ascii="Calibri" w:eastAsia="Calibri" w:hAnsi="Calibri" w:cs="Calibri"/>
          <w:b/>
          <w:sz w:val="22"/>
          <w:szCs w:val="22"/>
        </w:rPr>
        <w:t>K</w:t>
      </w:r>
      <w:r w:rsidRPr="006F1457">
        <w:rPr>
          <w:rFonts w:ascii="Calibri" w:eastAsia="Calibri" w:hAnsi="Calibri" w:cs="Calibri"/>
          <w:b/>
          <w:sz w:val="22"/>
          <w:szCs w:val="22"/>
        </w:rPr>
        <w:t>orea</w:t>
      </w:r>
    </w:p>
    <w:p w14:paraId="439790C1" w14:textId="2FDEE894" w:rsidR="006F1457" w:rsidRPr="006F1457" w:rsidRDefault="006F1457" w:rsidP="006F1457">
      <w:pPr>
        <w:pBdr>
          <w:top w:val="nil"/>
          <w:left w:val="nil"/>
          <w:bottom w:val="nil"/>
          <w:right w:val="nil"/>
          <w:between w:val="nil"/>
        </w:pBdr>
        <w:jc w:val="center"/>
        <w:rPr>
          <w:rFonts w:ascii="Calibri" w:eastAsia="Calibri" w:hAnsi="Calibri" w:cs="Calibri"/>
          <w:b/>
          <w:sz w:val="22"/>
          <w:szCs w:val="22"/>
        </w:rPr>
      </w:pPr>
      <w:r>
        <w:rPr>
          <w:rFonts w:ascii="Calibri" w:eastAsia="Calibri" w:hAnsi="Calibri" w:cs="Calibri"/>
          <w:b/>
          <w:sz w:val="22"/>
          <w:szCs w:val="22"/>
          <w:vertAlign w:val="superscript"/>
        </w:rPr>
        <w:t xml:space="preserve">5 </w:t>
      </w:r>
      <w:r w:rsidRPr="006F1457">
        <w:rPr>
          <w:rFonts w:ascii="Calibri" w:eastAsia="Calibri" w:hAnsi="Calibri" w:cs="Calibri"/>
          <w:b/>
          <w:sz w:val="22"/>
          <w:szCs w:val="22"/>
        </w:rPr>
        <w:t>BK21 R&amp;E Initiative for Advanced Precision Medicine, Suwon, Korea</w:t>
      </w:r>
    </w:p>
    <w:p w14:paraId="47EC17C4" w14:textId="77777777" w:rsidR="003F64D4" w:rsidRDefault="003F64D4">
      <w:pPr>
        <w:pBdr>
          <w:top w:val="nil"/>
          <w:left w:val="nil"/>
          <w:bottom w:val="nil"/>
          <w:right w:val="nil"/>
          <w:between w:val="nil"/>
        </w:pBdr>
        <w:jc w:val="center"/>
        <w:rPr>
          <w:rFonts w:ascii="Calibri" w:eastAsia="Calibri" w:hAnsi="Calibri" w:cs="Calibri"/>
          <w:b/>
          <w:sz w:val="22"/>
          <w:szCs w:val="22"/>
        </w:rPr>
        <w:sectPr w:rsidR="003F64D4">
          <w:headerReference w:type="even" r:id="rId7"/>
          <w:headerReference w:type="default" r:id="rId8"/>
          <w:footerReference w:type="default" r:id="rId9"/>
          <w:headerReference w:type="first" r:id="rId10"/>
          <w:pgSz w:w="12240" w:h="15840"/>
          <w:pgMar w:top="1440" w:right="1440" w:bottom="1440" w:left="1440" w:header="0" w:footer="720" w:gutter="0"/>
          <w:pgNumType w:start="1"/>
          <w:cols w:space="720"/>
        </w:sectPr>
      </w:pPr>
    </w:p>
    <w:p w14:paraId="47589996" w14:textId="77777777" w:rsidR="003F64D4" w:rsidRDefault="00000000">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Background</w:t>
      </w:r>
    </w:p>
    <w:p w14:paraId="42D612A6" w14:textId="157F828C" w:rsidR="00B81249" w:rsidRDefault="00B81249" w:rsidP="00EB4110">
      <w:pPr>
        <w:pBdr>
          <w:top w:val="nil"/>
          <w:left w:val="nil"/>
          <w:bottom w:val="nil"/>
          <w:right w:val="nil"/>
          <w:between w:val="nil"/>
        </w:pBdr>
        <w:spacing w:after="120"/>
        <w:jc w:val="both"/>
        <w:rPr>
          <w:rFonts w:ascii="Calibri" w:eastAsia="Calibri" w:hAnsi="Calibri" w:cs="Calibri" w:hint="eastAsia"/>
          <w:sz w:val="22"/>
          <w:szCs w:val="22"/>
        </w:rPr>
      </w:pPr>
      <w:r w:rsidRPr="00B81249">
        <w:rPr>
          <w:rFonts w:ascii="Calibri" w:eastAsia="Calibri" w:hAnsi="Calibri" w:cs="Calibri"/>
          <w:sz w:val="22"/>
          <w:szCs w:val="22"/>
        </w:rPr>
        <w:t xml:space="preserve">Predicting disease progression in type 2 diabetes mellitus (T2DM) is essential for personalized treatment. </w:t>
      </w:r>
      <w:r w:rsidR="0055552B">
        <w:rPr>
          <w:rFonts w:ascii="Calibri" w:eastAsia="Calibri" w:hAnsi="Calibri" w:cs="Calibri"/>
          <w:sz w:val="22"/>
          <w:szCs w:val="22"/>
          <w:vertAlign w:val="superscript"/>
        </w:rPr>
        <w:t>1, 2</w:t>
      </w:r>
      <w:r w:rsidR="0055552B">
        <w:rPr>
          <w:rFonts w:ascii="Calibri" w:eastAsia="Calibri" w:hAnsi="Calibri" w:cs="Calibri" w:hint="eastAsia"/>
          <w:sz w:val="22"/>
          <w:szCs w:val="22"/>
        </w:rPr>
        <w:t xml:space="preserve"> </w:t>
      </w:r>
      <w:r w:rsidRPr="00B81249">
        <w:rPr>
          <w:rFonts w:ascii="Calibri" w:eastAsia="Calibri" w:hAnsi="Calibri" w:cs="Calibri"/>
          <w:sz w:val="22"/>
          <w:szCs w:val="22"/>
        </w:rPr>
        <w:t>Hyperuricemia has been proposed as a potential biomarker for T2DM, However, its prognostic value in diabetes care remains underexplored.</w:t>
      </w:r>
      <w:r w:rsidR="0055552B">
        <w:rPr>
          <w:rFonts w:ascii="Calibri" w:eastAsia="Calibri" w:hAnsi="Calibri" w:cs="Calibri" w:hint="eastAsia"/>
          <w:sz w:val="22"/>
          <w:szCs w:val="22"/>
          <w:vertAlign w:val="superscript"/>
        </w:rPr>
        <w:t>3</w:t>
      </w:r>
      <w:r w:rsidR="0053312A">
        <w:rPr>
          <w:rFonts w:ascii="Calibri" w:eastAsia="Calibri" w:hAnsi="Calibri" w:cs="Calibri"/>
          <w:sz w:val="22"/>
          <w:szCs w:val="22"/>
          <w:vertAlign w:val="superscript"/>
        </w:rPr>
        <w:t>,4</w:t>
      </w:r>
      <w:r w:rsidR="0055552B">
        <w:rPr>
          <w:rFonts w:ascii="Calibri" w:eastAsia="Calibri" w:hAnsi="Calibri" w:cs="Calibri" w:hint="eastAsia"/>
          <w:sz w:val="22"/>
          <w:szCs w:val="22"/>
          <w:vertAlign w:val="superscript"/>
        </w:rPr>
        <w:t xml:space="preserve"> </w:t>
      </w:r>
      <w:r w:rsidRPr="00B81249">
        <w:rPr>
          <w:rFonts w:ascii="Calibri" w:eastAsia="Calibri" w:hAnsi="Calibri" w:cs="Calibri"/>
          <w:sz w:val="22"/>
          <w:szCs w:val="22"/>
        </w:rPr>
        <w:t>Leveraging large-scale real-world data harmonized under the Observational Medical Outcomes Partnership–Common Data Model (OMOP-CDM), this study aimed to (1) develop and validate a machine learning (ML) model to predict the occurrence of hyperuricemia within one year of T2DM diagnosis and (2) examine its association with long-term clinical outcomes including renal failure, cardiovascular events, and mortality.</w:t>
      </w:r>
      <w:r w:rsidR="0053312A" w:rsidRPr="0053312A">
        <w:rPr>
          <w:rFonts w:ascii="Calibri" w:eastAsia="Calibri" w:hAnsi="Calibri" w:cs="Calibri" w:hint="eastAsia"/>
          <w:sz w:val="22"/>
          <w:szCs w:val="22"/>
          <w:vertAlign w:val="superscript"/>
        </w:rPr>
        <w:t xml:space="preserve"> </w:t>
      </w:r>
      <w:r w:rsidR="0053312A">
        <w:rPr>
          <w:rFonts w:ascii="Calibri" w:eastAsia="Calibri" w:hAnsi="Calibri" w:cs="Calibri"/>
          <w:sz w:val="22"/>
          <w:szCs w:val="22"/>
          <w:vertAlign w:val="superscript"/>
        </w:rPr>
        <w:t>5</w:t>
      </w:r>
    </w:p>
    <w:p w14:paraId="05E3640E" w14:textId="77777777" w:rsidR="00B81249" w:rsidRDefault="00B81249" w:rsidP="00EB4110">
      <w:pPr>
        <w:pBdr>
          <w:top w:val="nil"/>
          <w:left w:val="nil"/>
          <w:bottom w:val="nil"/>
          <w:right w:val="nil"/>
          <w:between w:val="nil"/>
        </w:pBdr>
        <w:spacing w:after="120"/>
        <w:jc w:val="both"/>
        <w:rPr>
          <w:rFonts w:ascii="Calibri" w:eastAsia="Calibri" w:hAnsi="Calibri" w:cs="Calibri"/>
          <w:sz w:val="22"/>
          <w:szCs w:val="22"/>
        </w:rPr>
      </w:pPr>
    </w:p>
    <w:p w14:paraId="76034CF1" w14:textId="77ABA73E" w:rsidR="00B81249" w:rsidRDefault="00000000" w:rsidP="00606AF7">
      <w:pPr>
        <w:pBdr>
          <w:top w:val="nil"/>
          <w:left w:val="nil"/>
          <w:bottom w:val="nil"/>
          <w:right w:val="nil"/>
          <w:between w:val="nil"/>
        </w:pBdr>
        <w:spacing w:after="120"/>
        <w:jc w:val="both"/>
        <w:rPr>
          <w:rFonts w:ascii="Calibri" w:eastAsia="Calibri" w:hAnsi="Calibri" w:cs="Calibri" w:hint="eastAsia"/>
          <w:sz w:val="22"/>
          <w:szCs w:val="22"/>
        </w:rPr>
      </w:pPr>
      <w:r>
        <w:rPr>
          <w:rFonts w:ascii="Calibri" w:eastAsia="Calibri" w:hAnsi="Calibri" w:cs="Calibri"/>
          <w:b/>
          <w:sz w:val="22"/>
          <w:szCs w:val="22"/>
        </w:rPr>
        <w:t>Methods</w:t>
      </w:r>
    </w:p>
    <w:p w14:paraId="59D0F350" w14:textId="546F0A08" w:rsidR="00B81249" w:rsidRPr="00B81249" w:rsidRDefault="00B81249" w:rsidP="00B81249">
      <w:pPr>
        <w:pBdr>
          <w:top w:val="nil"/>
          <w:left w:val="nil"/>
          <w:bottom w:val="nil"/>
          <w:right w:val="nil"/>
          <w:between w:val="nil"/>
        </w:pBdr>
        <w:spacing w:after="120"/>
        <w:jc w:val="both"/>
        <w:rPr>
          <w:rFonts w:ascii="Calibri" w:eastAsia="Calibri" w:hAnsi="Calibri" w:cs="Calibri" w:hint="eastAsia"/>
          <w:sz w:val="22"/>
          <w:szCs w:val="22"/>
        </w:rPr>
      </w:pPr>
      <w:r w:rsidRPr="00B81249">
        <w:rPr>
          <w:rFonts w:ascii="Calibri" w:eastAsia="Calibri" w:hAnsi="Calibri" w:cs="Calibri"/>
          <w:sz w:val="22"/>
          <w:szCs w:val="22"/>
        </w:rPr>
        <w:t xml:space="preserve">We utilized de-identified electronic health records (EHR) from 6,108,232 patients across four Korean healthcare institutions: </w:t>
      </w:r>
      <w:proofErr w:type="spellStart"/>
      <w:r w:rsidRPr="00B81249">
        <w:rPr>
          <w:rFonts w:ascii="Calibri" w:eastAsia="Calibri" w:hAnsi="Calibri" w:cs="Calibri"/>
          <w:sz w:val="22"/>
          <w:szCs w:val="22"/>
        </w:rPr>
        <w:t>Ajou</w:t>
      </w:r>
      <w:proofErr w:type="spellEnd"/>
      <w:r w:rsidRPr="00B81249">
        <w:rPr>
          <w:rFonts w:ascii="Calibri" w:eastAsia="Calibri" w:hAnsi="Calibri" w:cs="Calibri"/>
          <w:sz w:val="22"/>
          <w:szCs w:val="22"/>
        </w:rPr>
        <w:t xml:space="preserve"> University School of Medicine (AUSOM), </w:t>
      </w:r>
      <w:proofErr w:type="spellStart"/>
      <w:r w:rsidRPr="00B81249">
        <w:rPr>
          <w:rFonts w:ascii="Calibri" w:eastAsia="Calibri" w:hAnsi="Calibri" w:cs="Calibri"/>
          <w:sz w:val="22"/>
          <w:szCs w:val="22"/>
        </w:rPr>
        <w:t>Kangdong</w:t>
      </w:r>
      <w:proofErr w:type="spellEnd"/>
      <w:r w:rsidRPr="00B81249">
        <w:rPr>
          <w:rFonts w:ascii="Calibri" w:eastAsia="Calibri" w:hAnsi="Calibri" w:cs="Calibri"/>
          <w:sz w:val="22"/>
          <w:szCs w:val="22"/>
        </w:rPr>
        <w:t xml:space="preserve"> Sacred Heart Hospital (KDH), Sejong General Hospital </w:t>
      </w:r>
      <w:proofErr w:type="spellStart"/>
      <w:r w:rsidRPr="00B81249">
        <w:rPr>
          <w:rFonts w:ascii="Calibri" w:eastAsia="Calibri" w:hAnsi="Calibri" w:cs="Calibri"/>
          <w:sz w:val="22"/>
          <w:szCs w:val="22"/>
        </w:rPr>
        <w:t>Bucheon</w:t>
      </w:r>
      <w:proofErr w:type="spellEnd"/>
      <w:r w:rsidRPr="00B81249">
        <w:rPr>
          <w:rFonts w:ascii="Calibri" w:eastAsia="Calibri" w:hAnsi="Calibri" w:cs="Calibri"/>
          <w:sz w:val="22"/>
          <w:szCs w:val="22"/>
        </w:rPr>
        <w:t xml:space="preserve"> (SJBCN), and </w:t>
      </w:r>
      <w:proofErr w:type="spellStart"/>
      <w:r w:rsidRPr="00B81249">
        <w:rPr>
          <w:rFonts w:ascii="Calibri" w:eastAsia="Calibri" w:hAnsi="Calibri" w:cs="Calibri"/>
          <w:sz w:val="22"/>
          <w:szCs w:val="22"/>
        </w:rPr>
        <w:t>Wonkwang</w:t>
      </w:r>
      <w:proofErr w:type="spellEnd"/>
      <w:r w:rsidRPr="00B81249">
        <w:rPr>
          <w:rFonts w:ascii="Calibri" w:eastAsia="Calibri" w:hAnsi="Calibri" w:cs="Calibri"/>
          <w:sz w:val="22"/>
          <w:szCs w:val="22"/>
        </w:rPr>
        <w:t xml:space="preserve"> University Hospital (WKUH). The AUSOM database was used for model development, while KDH, SJBCN, and WKUH served as external validation cohorts.</w:t>
      </w:r>
    </w:p>
    <w:p w14:paraId="3812FCBB" w14:textId="42E0C992" w:rsidR="00B81249" w:rsidRPr="00B81249" w:rsidRDefault="00B81249" w:rsidP="00B81249">
      <w:pPr>
        <w:pBdr>
          <w:top w:val="nil"/>
          <w:left w:val="nil"/>
          <w:bottom w:val="nil"/>
          <w:right w:val="nil"/>
          <w:between w:val="nil"/>
        </w:pBdr>
        <w:spacing w:after="120"/>
        <w:jc w:val="both"/>
        <w:rPr>
          <w:rFonts w:ascii="Calibri" w:eastAsia="Calibri" w:hAnsi="Calibri" w:cs="Calibri" w:hint="eastAsia"/>
          <w:sz w:val="22"/>
          <w:szCs w:val="22"/>
        </w:rPr>
      </w:pPr>
      <w:r w:rsidRPr="00B81249">
        <w:rPr>
          <w:rFonts w:ascii="Calibri" w:eastAsia="Calibri" w:hAnsi="Calibri" w:cs="Calibri" w:hint="eastAsia"/>
          <w:sz w:val="22"/>
          <w:szCs w:val="22"/>
        </w:rPr>
        <w:t>The study population included patients newly diagnosed with T2DM aged ≥18 years, with at least one year of prior observation and at least one uric acid measurement within one year post-diagnosis. Patients with pre-existing hyperuricemia, gout, cancer, or renal/cardiovascular/cerebrovascular disease at baseline were excluded. The index date was defined as the first T2DM diagnosis date. The outcome of interest for the predictive models was the occurrence of hyperuricemia within one year following the index date. Hyperuricemia was defined by any of the following criteria: (1) serum uric acid levels ≥ 7 mg/dL, (2) a diagnosis of hyperuricem</w:t>
      </w:r>
      <w:r w:rsidRPr="00B81249">
        <w:rPr>
          <w:rFonts w:ascii="Calibri" w:eastAsia="Calibri" w:hAnsi="Calibri" w:cs="Calibri"/>
          <w:sz w:val="22"/>
          <w:szCs w:val="22"/>
        </w:rPr>
        <w:t>ia, or (3) a prescription for hyperuricemia treatment. All patients with T2DM were followed up for 1 year. If hyperuricemia occurred within this 1-year period, the observation ended on the day that the hyperuricemia diagnosis was coded.</w:t>
      </w:r>
      <w:r>
        <w:rPr>
          <w:rFonts w:ascii="Calibri" w:eastAsia="Calibri" w:hAnsi="Calibri" w:cs="Calibri" w:hint="eastAsia"/>
          <w:sz w:val="22"/>
          <w:szCs w:val="22"/>
        </w:rPr>
        <w:t xml:space="preserve"> </w:t>
      </w:r>
      <w:r w:rsidRPr="00B81249">
        <w:rPr>
          <w:rFonts w:ascii="Calibri" w:eastAsia="Calibri" w:hAnsi="Calibri" w:cs="Calibri"/>
          <w:sz w:val="22"/>
          <w:szCs w:val="22"/>
        </w:rPr>
        <w:t>After that, patients were divided into “predicted to have hyperuricemia” and “predicted not to have hyperuricemia” groups through a predictive model at the time of the index date.</w:t>
      </w:r>
    </w:p>
    <w:p w14:paraId="15C442A0" w14:textId="6EFBFEE8" w:rsidR="00B81249" w:rsidRPr="00B81249" w:rsidRDefault="00B81249" w:rsidP="00B81249">
      <w:pPr>
        <w:pBdr>
          <w:top w:val="nil"/>
          <w:left w:val="nil"/>
          <w:bottom w:val="nil"/>
          <w:right w:val="nil"/>
          <w:between w:val="nil"/>
        </w:pBdr>
        <w:spacing w:after="120"/>
        <w:jc w:val="both"/>
        <w:rPr>
          <w:rFonts w:ascii="Calibri" w:eastAsia="Calibri" w:hAnsi="Calibri" w:cs="Calibri" w:hint="eastAsia"/>
          <w:sz w:val="22"/>
          <w:szCs w:val="22"/>
        </w:rPr>
      </w:pPr>
      <w:r w:rsidRPr="00B81249">
        <w:rPr>
          <w:rFonts w:ascii="Calibri" w:eastAsia="Calibri" w:hAnsi="Calibri" w:cs="Calibri"/>
          <w:sz w:val="22"/>
          <w:szCs w:val="22"/>
        </w:rPr>
        <w:t>Prediction models were developed using the OHDSI patient-level prediction framework. Feature variables were dichotomized over short-term (30 days) and long-term (365 days) windows prior to index. Model development included three algorithms—extreme gradient boosting (</w:t>
      </w:r>
      <w:proofErr w:type="spellStart"/>
      <w:r w:rsidRPr="00B81249">
        <w:rPr>
          <w:rFonts w:ascii="Calibri" w:eastAsia="Calibri" w:hAnsi="Calibri" w:cs="Calibri"/>
          <w:sz w:val="22"/>
          <w:szCs w:val="22"/>
        </w:rPr>
        <w:t>XGBoost</w:t>
      </w:r>
      <w:proofErr w:type="spellEnd"/>
      <w:r w:rsidRPr="00B81249">
        <w:rPr>
          <w:rFonts w:ascii="Calibri" w:eastAsia="Calibri" w:hAnsi="Calibri" w:cs="Calibri"/>
          <w:sz w:val="22"/>
          <w:szCs w:val="22"/>
        </w:rPr>
        <w:t>), least absolute shrinkage and selection operator (LASSO), and random forest—with performance evaluated via 3-fold cross-validation and split into 75% training and 25% testing sets. Performance metrics included AUROC, AUPRC, F1-score, and accuracy.</w:t>
      </w:r>
    </w:p>
    <w:p w14:paraId="0FAB5687" w14:textId="2E0C5A62" w:rsidR="00B81249" w:rsidRDefault="00B81249" w:rsidP="00606AF7">
      <w:pPr>
        <w:pBdr>
          <w:top w:val="nil"/>
          <w:left w:val="nil"/>
          <w:bottom w:val="nil"/>
          <w:right w:val="nil"/>
          <w:between w:val="nil"/>
        </w:pBdr>
        <w:spacing w:after="120"/>
        <w:jc w:val="both"/>
        <w:rPr>
          <w:rFonts w:ascii="Calibri" w:eastAsia="Calibri" w:hAnsi="Calibri" w:cs="Calibri" w:hint="eastAsia"/>
          <w:sz w:val="22"/>
          <w:szCs w:val="22"/>
        </w:rPr>
      </w:pPr>
      <w:r w:rsidRPr="00B81249">
        <w:rPr>
          <w:rFonts w:ascii="Calibri" w:eastAsia="Calibri" w:hAnsi="Calibri" w:cs="Calibri"/>
          <w:sz w:val="22"/>
          <w:szCs w:val="22"/>
        </w:rPr>
        <w:t xml:space="preserve">Following model development, external validation was conducted using the same prediction model and </w:t>
      </w:r>
      <w:r w:rsidRPr="00B81249">
        <w:rPr>
          <w:rFonts w:ascii="Calibri" w:eastAsia="Calibri" w:hAnsi="Calibri" w:cs="Calibri"/>
          <w:sz w:val="22"/>
          <w:szCs w:val="22"/>
        </w:rPr>
        <w:lastRenderedPageBreak/>
        <w:t>hyperuricemia definition on the three external CDM databases. The patients were followed up 5 years after the index date. During the follow-up, the risk of renal failure, cardiovascular disorders, and morality for patients with T2DM, who were predicted to have hyperuricemia compared with patients who were predicted not to have hyperuricemia. Kaplan–Meier survival curves and Cox proportional hazards models were used to evaluate the risk of long-term outcomes, stratified by the predicted hyperuricemia group. Meta-analysis across databases was performed to generate pooled hazard ratios (HRs)</w:t>
      </w:r>
      <w:r w:rsidR="00606AF7" w:rsidRPr="00606AF7">
        <w:rPr>
          <w:rFonts w:ascii="Calibri" w:eastAsia="Calibri" w:hAnsi="Calibri" w:cs="Calibri"/>
          <w:sz w:val="22"/>
          <w:szCs w:val="22"/>
        </w:rPr>
        <w:t>.</w:t>
      </w:r>
    </w:p>
    <w:p w14:paraId="1E2A1CFC" w14:textId="76EF6BD7" w:rsidR="00B81249" w:rsidRPr="00B81249" w:rsidRDefault="00B81249" w:rsidP="00606AF7">
      <w:pPr>
        <w:pBdr>
          <w:top w:val="nil"/>
          <w:left w:val="nil"/>
          <w:bottom w:val="nil"/>
          <w:right w:val="nil"/>
          <w:between w:val="nil"/>
        </w:pBdr>
        <w:spacing w:after="120"/>
        <w:jc w:val="both"/>
        <w:rPr>
          <w:rFonts w:ascii="Calibri" w:eastAsia="Calibri" w:hAnsi="Calibri" w:cs="Calibri" w:hint="eastAsia"/>
          <w:sz w:val="22"/>
          <w:szCs w:val="22"/>
        </w:rPr>
      </w:pPr>
      <w:r w:rsidRPr="00CA2A4C">
        <w:rPr>
          <w:rFonts w:ascii="Calibri" w:eastAsia="Calibri" w:hAnsi="Calibri" w:cs="Calibri"/>
          <w:sz w:val="22"/>
          <w:szCs w:val="22"/>
        </w:rPr>
        <w:t>All analyses were conducted using R version 4.2.1, OHDSI’s Health Analytics Data to Evidence Suite (HADES) packages, and open-source R libraries.</w:t>
      </w:r>
    </w:p>
    <w:p w14:paraId="5EBCB3B2" w14:textId="77777777" w:rsidR="00CA2A4C" w:rsidRDefault="00CA2A4C">
      <w:pPr>
        <w:pBdr>
          <w:top w:val="nil"/>
          <w:left w:val="nil"/>
          <w:bottom w:val="nil"/>
          <w:right w:val="nil"/>
          <w:between w:val="nil"/>
        </w:pBdr>
        <w:spacing w:after="120"/>
        <w:jc w:val="both"/>
        <w:rPr>
          <w:rFonts w:ascii="Calibri" w:eastAsia="Calibri" w:hAnsi="Calibri" w:cs="Calibri" w:hint="eastAsia"/>
          <w:sz w:val="22"/>
          <w:szCs w:val="22"/>
        </w:rPr>
      </w:pPr>
    </w:p>
    <w:p w14:paraId="2FAD5639" w14:textId="1811DBBB" w:rsidR="00CA2A4C" w:rsidRPr="00CA2A4C" w:rsidRDefault="00000000" w:rsidP="00CA2A4C">
      <w:pPr>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sz w:val="22"/>
          <w:szCs w:val="22"/>
        </w:rPr>
        <w:t>Results</w:t>
      </w:r>
    </w:p>
    <w:p w14:paraId="244E1232" w14:textId="77777777" w:rsidR="00B81249" w:rsidRDefault="00B81249" w:rsidP="00B81249">
      <w:pPr>
        <w:pBdr>
          <w:top w:val="nil"/>
          <w:left w:val="nil"/>
          <w:bottom w:val="nil"/>
          <w:right w:val="nil"/>
          <w:between w:val="nil"/>
        </w:pBdr>
        <w:tabs>
          <w:tab w:val="left" w:pos="9360"/>
        </w:tabs>
        <w:spacing w:after="120"/>
        <w:jc w:val="both"/>
        <w:rPr>
          <w:rFonts w:ascii="Calibri" w:eastAsia="Calibri" w:hAnsi="Calibri" w:cs="Calibri"/>
          <w:sz w:val="22"/>
          <w:szCs w:val="22"/>
        </w:rPr>
      </w:pPr>
      <w:r w:rsidRPr="00B81249">
        <w:rPr>
          <w:rFonts w:ascii="Calibri" w:eastAsia="Calibri" w:hAnsi="Calibri" w:cs="Calibri"/>
          <w:sz w:val="22"/>
          <w:szCs w:val="22"/>
        </w:rPr>
        <w:t xml:space="preserve">In the AUSOM cohort (n = 5,263), 413 patients (7.85%) developed hyperuricemia within one year of T2DM diagnosis. These patients were more likely to be male (67.3%) compared to those without hyperuricemia (47.4%, p &lt; 0.001), but no significant age difference was observed. </w:t>
      </w:r>
    </w:p>
    <w:p w14:paraId="42E40B72" w14:textId="7055BD5A" w:rsidR="00B81249" w:rsidRPr="00B81249" w:rsidRDefault="00B81249" w:rsidP="00B81249">
      <w:pPr>
        <w:pBdr>
          <w:top w:val="nil"/>
          <w:left w:val="nil"/>
          <w:bottom w:val="nil"/>
          <w:right w:val="nil"/>
          <w:between w:val="nil"/>
        </w:pBdr>
        <w:tabs>
          <w:tab w:val="left" w:pos="9360"/>
        </w:tabs>
        <w:spacing w:after="120"/>
        <w:jc w:val="both"/>
        <w:rPr>
          <w:rFonts w:ascii="Calibri" w:eastAsia="Calibri" w:hAnsi="Calibri" w:cs="Calibri" w:hint="eastAsia"/>
          <w:sz w:val="22"/>
          <w:szCs w:val="22"/>
        </w:rPr>
      </w:pPr>
      <w:r w:rsidRPr="00B81249">
        <w:rPr>
          <w:rFonts w:ascii="Calibri" w:eastAsia="Calibri" w:hAnsi="Calibri" w:cs="Calibri"/>
          <w:sz w:val="22"/>
          <w:szCs w:val="22"/>
        </w:rPr>
        <w:t xml:space="preserve">The final </w:t>
      </w:r>
      <w:proofErr w:type="spellStart"/>
      <w:r w:rsidRPr="00B81249">
        <w:rPr>
          <w:rFonts w:ascii="Calibri" w:eastAsia="Calibri" w:hAnsi="Calibri" w:cs="Calibri"/>
          <w:sz w:val="22"/>
          <w:szCs w:val="22"/>
        </w:rPr>
        <w:t>XGBoost</w:t>
      </w:r>
      <w:proofErr w:type="spellEnd"/>
      <w:r w:rsidRPr="00B81249">
        <w:rPr>
          <w:rFonts w:ascii="Calibri" w:eastAsia="Calibri" w:hAnsi="Calibri" w:cs="Calibri"/>
          <w:sz w:val="22"/>
          <w:szCs w:val="22"/>
        </w:rPr>
        <w:t xml:space="preserve"> model achieved an AUROC of 0.769 (95% CI: 0.723–0.815), with an AUPRC of 0.205, F1-score of 0.278, and accuracy of 0.681. Key predictive features included male sex, use of sulfonylureas or insulin, bacterial infectious disease, hemoglobin levels, and use of diuretics or anti-tuberculosis drugs. Across LASSO, random forest, and </w:t>
      </w:r>
      <w:proofErr w:type="spellStart"/>
      <w:r w:rsidRPr="00B81249">
        <w:rPr>
          <w:rFonts w:ascii="Calibri" w:eastAsia="Calibri" w:hAnsi="Calibri" w:cs="Calibri"/>
          <w:sz w:val="22"/>
          <w:szCs w:val="22"/>
        </w:rPr>
        <w:t>XGBoost</w:t>
      </w:r>
      <w:proofErr w:type="spellEnd"/>
      <w:r w:rsidRPr="00B81249">
        <w:rPr>
          <w:rFonts w:ascii="Calibri" w:eastAsia="Calibri" w:hAnsi="Calibri" w:cs="Calibri"/>
          <w:sz w:val="22"/>
          <w:szCs w:val="22"/>
        </w:rPr>
        <w:t xml:space="preserve"> models, consistent top predictors were identified.</w:t>
      </w:r>
    </w:p>
    <w:p w14:paraId="2555D461" w14:textId="400A4144" w:rsidR="0055552B" w:rsidRPr="00B81249" w:rsidRDefault="00B81249" w:rsidP="0055552B">
      <w:pPr>
        <w:pBdr>
          <w:top w:val="nil"/>
          <w:left w:val="nil"/>
          <w:bottom w:val="nil"/>
          <w:right w:val="nil"/>
          <w:between w:val="nil"/>
        </w:pBdr>
        <w:tabs>
          <w:tab w:val="left" w:pos="9360"/>
        </w:tabs>
        <w:spacing w:after="120"/>
        <w:jc w:val="both"/>
        <w:rPr>
          <w:rFonts w:ascii="Calibri" w:eastAsia="Calibri" w:hAnsi="Calibri" w:cs="Calibri" w:hint="eastAsia"/>
          <w:sz w:val="22"/>
          <w:szCs w:val="22"/>
        </w:rPr>
      </w:pPr>
      <w:r w:rsidRPr="00B81249">
        <w:rPr>
          <w:rFonts w:ascii="Calibri" w:eastAsia="Calibri" w:hAnsi="Calibri" w:cs="Calibri"/>
          <w:sz w:val="22"/>
          <w:szCs w:val="22"/>
        </w:rPr>
        <w:t>In external validation, the final model showed robust performance with AUROCs of 0.748 (KDH), 0.750 (SJBCN), and 0.709 (WKUH). Hyperuricemia incidence rates ranged from 7.8% to 10.7% across these sites. In survival analysis, patients predicted to have hyperuricemia demonstrated a significantly higher observed incidence of hyperuricemia within one year (log-rank p &lt; 0.001).</w:t>
      </w:r>
    </w:p>
    <w:p w14:paraId="68C15D7C" w14:textId="77777777" w:rsidR="0055552B" w:rsidRPr="0055552B" w:rsidRDefault="0055552B" w:rsidP="0055552B">
      <w:pPr>
        <w:pStyle w:val="a8"/>
        <w:keepNext/>
        <w:rPr>
          <w:rFonts w:ascii="Calibri" w:hAnsi="Calibri" w:cs="Calibri"/>
          <w:sz w:val="18"/>
          <w:szCs w:val="18"/>
        </w:rPr>
      </w:pPr>
      <w:r w:rsidRPr="0055552B">
        <w:rPr>
          <w:rFonts w:ascii="Calibri" w:hAnsi="Calibri" w:cs="Calibri"/>
          <w:sz w:val="18"/>
          <w:szCs w:val="18"/>
        </w:rPr>
        <w:t>Table 1. Top 10 important features of the prediction model for hyperuricemia</w:t>
      </w:r>
    </w:p>
    <w:tbl>
      <w:tblPr>
        <w:tblW w:w="9174" w:type="dxa"/>
        <w:tblCellMar>
          <w:left w:w="0" w:type="dxa"/>
          <w:right w:w="0" w:type="dxa"/>
        </w:tblCellMar>
        <w:tblLook w:val="04A0" w:firstRow="1" w:lastRow="0" w:firstColumn="1" w:lastColumn="0" w:noHBand="0" w:noVBand="1"/>
      </w:tblPr>
      <w:tblGrid>
        <w:gridCol w:w="716"/>
        <w:gridCol w:w="2817"/>
        <w:gridCol w:w="2818"/>
        <w:gridCol w:w="2823"/>
      </w:tblGrid>
      <w:tr w:rsidR="0055552B" w:rsidRPr="00DB7AC4" w14:paraId="50919E7F" w14:textId="77777777" w:rsidTr="00D42363">
        <w:trPr>
          <w:trHeight w:val="15"/>
        </w:trPr>
        <w:tc>
          <w:tcPr>
            <w:tcW w:w="716" w:type="dxa"/>
            <w:tcBorders>
              <w:top w:val="single" w:sz="8" w:space="0" w:color="000000"/>
              <w:left w:val="nil"/>
              <w:bottom w:val="single" w:sz="8" w:space="0" w:color="000000"/>
              <w:right w:val="nil"/>
            </w:tcBorders>
            <w:vAlign w:val="center"/>
          </w:tcPr>
          <w:p w14:paraId="5D2C4C7D" w14:textId="77777777" w:rsidR="0055552B" w:rsidRPr="0055552B" w:rsidRDefault="0055552B" w:rsidP="00D42363">
            <w:pPr>
              <w:jc w:val="center"/>
              <w:rPr>
                <w:rFonts w:ascii="Calibri" w:hAnsi="Calibri" w:cs="Calibri"/>
                <w:b/>
                <w:bCs/>
                <w:sz w:val="18"/>
                <w:szCs w:val="18"/>
              </w:rPr>
            </w:pPr>
            <w:r w:rsidRPr="0055552B">
              <w:rPr>
                <w:rFonts w:ascii="Calibri" w:hAnsi="Calibri" w:cs="Calibri"/>
                <w:b/>
                <w:bCs/>
                <w:sz w:val="18"/>
                <w:szCs w:val="18"/>
              </w:rPr>
              <w:t>Rank</w:t>
            </w:r>
          </w:p>
        </w:tc>
        <w:tc>
          <w:tcPr>
            <w:tcW w:w="2817" w:type="dxa"/>
            <w:tcBorders>
              <w:top w:val="single" w:sz="8" w:space="0" w:color="000000"/>
              <w:left w:val="nil"/>
              <w:bottom w:val="single" w:sz="8" w:space="0" w:color="000000"/>
              <w:right w:val="nil"/>
            </w:tcBorders>
            <w:shd w:val="clear" w:color="auto" w:fill="auto"/>
            <w:tcMar>
              <w:top w:w="15" w:type="dxa"/>
              <w:left w:w="94" w:type="dxa"/>
              <w:bottom w:w="0" w:type="dxa"/>
              <w:right w:w="94" w:type="dxa"/>
            </w:tcMar>
            <w:vAlign w:val="center"/>
            <w:hideMark/>
          </w:tcPr>
          <w:p w14:paraId="077F4D93" w14:textId="77777777" w:rsidR="0055552B" w:rsidRPr="0055552B" w:rsidRDefault="0055552B" w:rsidP="00D42363">
            <w:pPr>
              <w:jc w:val="center"/>
              <w:rPr>
                <w:rFonts w:ascii="Calibri" w:hAnsi="Calibri" w:cs="Calibri"/>
                <w:b/>
                <w:bCs/>
                <w:sz w:val="18"/>
                <w:szCs w:val="18"/>
              </w:rPr>
            </w:pPr>
            <w:proofErr w:type="spellStart"/>
            <w:r w:rsidRPr="0055552B">
              <w:rPr>
                <w:rFonts w:ascii="Calibri" w:hAnsi="Calibri" w:cs="Calibri"/>
                <w:b/>
                <w:bCs/>
                <w:sz w:val="18"/>
                <w:szCs w:val="18"/>
              </w:rPr>
              <w:t>XGBoost</w:t>
            </w:r>
            <w:proofErr w:type="spellEnd"/>
          </w:p>
        </w:tc>
        <w:tc>
          <w:tcPr>
            <w:tcW w:w="2818" w:type="dxa"/>
            <w:tcBorders>
              <w:top w:val="single" w:sz="8" w:space="0" w:color="000000"/>
              <w:left w:val="nil"/>
              <w:bottom w:val="single" w:sz="8" w:space="0" w:color="000000"/>
              <w:right w:val="nil"/>
            </w:tcBorders>
            <w:shd w:val="clear" w:color="auto" w:fill="auto"/>
            <w:tcMar>
              <w:top w:w="15" w:type="dxa"/>
              <w:left w:w="94" w:type="dxa"/>
              <w:bottom w:w="0" w:type="dxa"/>
              <w:right w:w="94" w:type="dxa"/>
            </w:tcMar>
            <w:vAlign w:val="center"/>
            <w:hideMark/>
          </w:tcPr>
          <w:p w14:paraId="39CFC50A" w14:textId="77777777" w:rsidR="0055552B" w:rsidRPr="0055552B" w:rsidRDefault="0055552B" w:rsidP="00D42363">
            <w:pPr>
              <w:jc w:val="center"/>
              <w:rPr>
                <w:rFonts w:ascii="Calibri" w:hAnsi="Calibri" w:cs="Calibri"/>
                <w:b/>
                <w:bCs/>
                <w:sz w:val="18"/>
                <w:szCs w:val="18"/>
              </w:rPr>
            </w:pPr>
            <w:r w:rsidRPr="0055552B">
              <w:rPr>
                <w:rFonts w:ascii="Calibri" w:hAnsi="Calibri" w:cs="Calibri"/>
                <w:b/>
                <w:bCs/>
                <w:sz w:val="18"/>
                <w:szCs w:val="18"/>
              </w:rPr>
              <w:t>LASSO logistic regression</w:t>
            </w:r>
          </w:p>
        </w:tc>
        <w:tc>
          <w:tcPr>
            <w:tcW w:w="2821" w:type="dxa"/>
            <w:tcBorders>
              <w:top w:val="single" w:sz="8" w:space="0" w:color="000000"/>
              <w:left w:val="nil"/>
              <w:bottom w:val="single" w:sz="8" w:space="0" w:color="000000"/>
              <w:right w:val="nil"/>
            </w:tcBorders>
            <w:shd w:val="clear" w:color="auto" w:fill="auto"/>
            <w:tcMar>
              <w:top w:w="15" w:type="dxa"/>
              <w:left w:w="94" w:type="dxa"/>
              <w:bottom w:w="0" w:type="dxa"/>
              <w:right w:w="94" w:type="dxa"/>
            </w:tcMar>
            <w:vAlign w:val="center"/>
            <w:hideMark/>
          </w:tcPr>
          <w:p w14:paraId="72C6D2CB" w14:textId="77777777" w:rsidR="0055552B" w:rsidRPr="0055552B" w:rsidRDefault="0055552B" w:rsidP="00D42363">
            <w:pPr>
              <w:jc w:val="center"/>
              <w:rPr>
                <w:rFonts w:ascii="Calibri" w:hAnsi="Calibri" w:cs="Calibri"/>
                <w:b/>
                <w:bCs/>
                <w:sz w:val="18"/>
                <w:szCs w:val="18"/>
              </w:rPr>
            </w:pPr>
            <w:r w:rsidRPr="0055552B">
              <w:rPr>
                <w:rFonts w:ascii="Calibri" w:hAnsi="Calibri" w:cs="Calibri"/>
                <w:b/>
                <w:bCs/>
                <w:sz w:val="18"/>
                <w:szCs w:val="18"/>
              </w:rPr>
              <w:t>Random forest</w:t>
            </w:r>
          </w:p>
        </w:tc>
      </w:tr>
      <w:tr w:rsidR="0055552B" w:rsidRPr="00DB7AC4" w14:paraId="38D08FEC" w14:textId="77777777" w:rsidTr="00D42363">
        <w:trPr>
          <w:trHeight w:val="647"/>
        </w:trPr>
        <w:tc>
          <w:tcPr>
            <w:tcW w:w="716" w:type="dxa"/>
            <w:tcBorders>
              <w:top w:val="single" w:sz="8" w:space="0" w:color="000000"/>
              <w:left w:val="nil"/>
              <w:bottom w:val="single" w:sz="8" w:space="0" w:color="000000"/>
              <w:right w:val="nil"/>
            </w:tcBorders>
            <w:vAlign w:val="center"/>
          </w:tcPr>
          <w:p w14:paraId="7D7A4593"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1</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6CC17A1"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Male</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EB365CF"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Pulmonary tuberculosis within 30 days before diagnosis</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355ACBC"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Male</w:t>
            </w:r>
          </w:p>
        </w:tc>
      </w:tr>
      <w:tr w:rsidR="0055552B" w:rsidRPr="00DB7AC4" w14:paraId="7CE3F16E" w14:textId="77777777" w:rsidTr="00D42363">
        <w:trPr>
          <w:trHeight w:val="18"/>
        </w:trPr>
        <w:tc>
          <w:tcPr>
            <w:tcW w:w="716" w:type="dxa"/>
            <w:tcBorders>
              <w:top w:val="single" w:sz="8" w:space="0" w:color="000000"/>
              <w:left w:val="nil"/>
              <w:bottom w:val="single" w:sz="8" w:space="0" w:color="000000"/>
              <w:right w:val="nil"/>
            </w:tcBorders>
            <w:vAlign w:val="center"/>
          </w:tcPr>
          <w:p w14:paraId="342E32AB"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2</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B5A8D1B"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Bacterial infectious disease within 30 days before diagnosis</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0BE42D7D"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Male</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BB1BE72"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Tuberculosis within 30 days before diagnosis</w:t>
            </w:r>
          </w:p>
        </w:tc>
      </w:tr>
      <w:tr w:rsidR="0055552B" w:rsidRPr="00DB7AC4" w14:paraId="2EA279E6" w14:textId="77777777" w:rsidTr="00D42363">
        <w:trPr>
          <w:trHeight w:val="18"/>
        </w:trPr>
        <w:tc>
          <w:tcPr>
            <w:tcW w:w="716" w:type="dxa"/>
            <w:tcBorders>
              <w:top w:val="single" w:sz="8" w:space="0" w:color="000000"/>
              <w:left w:val="nil"/>
              <w:bottom w:val="single" w:sz="8" w:space="0" w:color="000000"/>
              <w:right w:val="nil"/>
            </w:tcBorders>
            <w:vAlign w:val="center"/>
          </w:tcPr>
          <w:p w14:paraId="4FB1F6E1"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3</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959018F"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Beta blocking agents, non-selective, and other diuretics prescription within 30 days before diagnosis</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69DB366"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Beta blocking agents, non-selective, and other diuretics prescription within 30 days before diagnosis</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AF831FC"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Normal range of blood albumin within 1 year before diagnosis</w:t>
            </w:r>
          </w:p>
        </w:tc>
      </w:tr>
      <w:tr w:rsidR="0055552B" w:rsidRPr="00DB7AC4" w14:paraId="4CD3404A" w14:textId="77777777" w:rsidTr="00D42363">
        <w:trPr>
          <w:trHeight w:val="450"/>
        </w:trPr>
        <w:tc>
          <w:tcPr>
            <w:tcW w:w="716" w:type="dxa"/>
            <w:tcBorders>
              <w:top w:val="single" w:sz="8" w:space="0" w:color="000000"/>
              <w:left w:val="nil"/>
              <w:bottom w:val="single" w:sz="8" w:space="0" w:color="000000"/>
              <w:right w:val="nil"/>
            </w:tcBorders>
            <w:vAlign w:val="center"/>
          </w:tcPr>
          <w:p w14:paraId="2A2B2EDE"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4</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5B1CAF8"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Pneumonitis within 1 year before diagnosis</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0C48182"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Below normal range of blood hemoglobin within 1 year before diagnosis</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DA923E8"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Normal range of blood urea nitrogen within 1 year before diagnosis</w:t>
            </w:r>
          </w:p>
        </w:tc>
      </w:tr>
      <w:tr w:rsidR="0055552B" w:rsidRPr="00DB7AC4" w14:paraId="4A89DECA" w14:textId="77777777" w:rsidTr="00D42363">
        <w:trPr>
          <w:trHeight w:val="18"/>
        </w:trPr>
        <w:tc>
          <w:tcPr>
            <w:tcW w:w="716" w:type="dxa"/>
            <w:tcBorders>
              <w:top w:val="single" w:sz="8" w:space="0" w:color="000000"/>
              <w:left w:val="nil"/>
              <w:bottom w:val="single" w:sz="8" w:space="0" w:color="000000"/>
              <w:right w:val="nil"/>
            </w:tcBorders>
            <w:vAlign w:val="center"/>
          </w:tcPr>
          <w:p w14:paraId="5F563BE2"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5</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0A44479D"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Drugs for acid related disorders prescription within 1 year before diagnosis</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87C04D5"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Bacterial infectious disease within 30 days before diagnosis</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8D2656D"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Bacterial lower respiratory infection within 30 days before diagnosis</w:t>
            </w:r>
          </w:p>
        </w:tc>
      </w:tr>
      <w:tr w:rsidR="0055552B" w:rsidRPr="00DB7AC4" w14:paraId="63293CD3" w14:textId="77777777" w:rsidTr="00D42363">
        <w:trPr>
          <w:trHeight w:val="18"/>
        </w:trPr>
        <w:tc>
          <w:tcPr>
            <w:tcW w:w="716" w:type="dxa"/>
            <w:tcBorders>
              <w:top w:val="single" w:sz="8" w:space="0" w:color="000000"/>
              <w:left w:val="nil"/>
              <w:bottom w:val="single" w:sz="8" w:space="0" w:color="000000"/>
              <w:right w:val="nil"/>
            </w:tcBorders>
            <w:vAlign w:val="center"/>
          </w:tcPr>
          <w:p w14:paraId="2634BD35"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6</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04B5B37"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Below normal range of blood hemoglobin within 1 year before diagnosis</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5F73953"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Below normal range of blood chloride within 1 year before diagnosis</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85F1805"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Beta blocking agents, non-selective, and other diuretics prescription within 30 days before diagnosis</w:t>
            </w:r>
          </w:p>
        </w:tc>
      </w:tr>
      <w:tr w:rsidR="0055552B" w:rsidRPr="00DB7AC4" w14:paraId="0BB7458D" w14:textId="77777777" w:rsidTr="00D42363">
        <w:trPr>
          <w:trHeight w:val="18"/>
        </w:trPr>
        <w:tc>
          <w:tcPr>
            <w:tcW w:w="716" w:type="dxa"/>
            <w:tcBorders>
              <w:top w:val="single" w:sz="8" w:space="0" w:color="000000"/>
              <w:left w:val="nil"/>
              <w:bottom w:val="single" w:sz="8" w:space="0" w:color="000000"/>
              <w:right w:val="nil"/>
            </w:tcBorders>
            <w:vAlign w:val="center"/>
          </w:tcPr>
          <w:p w14:paraId="400F4FA8"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7</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66FB42D"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Normal range of blood protein within 1 year before diagnosis</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65FFB84"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Normal range of blood triglyceride within 1 year before diagnosis</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B40B046"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Bacterial infectious disease within 30 days before diagnosis</w:t>
            </w:r>
          </w:p>
        </w:tc>
      </w:tr>
      <w:tr w:rsidR="0055552B" w:rsidRPr="00DB7AC4" w14:paraId="431878FB" w14:textId="77777777" w:rsidTr="00D42363">
        <w:trPr>
          <w:trHeight w:val="18"/>
        </w:trPr>
        <w:tc>
          <w:tcPr>
            <w:tcW w:w="716" w:type="dxa"/>
            <w:tcBorders>
              <w:top w:val="single" w:sz="8" w:space="0" w:color="000000"/>
              <w:left w:val="nil"/>
              <w:bottom w:val="single" w:sz="8" w:space="0" w:color="000000"/>
              <w:right w:val="nil"/>
            </w:tcBorders>
            <w:vAlign w:val="center"/>
          </w:tcPr>
          <w:p w14:paraId="10F3D6B7"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8</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580EF90"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Age group: 60-64</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E735348"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Computer assisted image analysis within 30 days before diagnosis</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94EE79E"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Normal range of blood hemoglobin within 1 year before diagnosis</w:t>
            </w:r>
          </w:p>
        </w:tc>
      </w:tr>
      <w:tr w:rsidR="0055552B" w:rsidRPr="00DB7AC4" w14:paraId="054C0923" w14:textId="77777777" w:rsidTr="00D42363">
        <w:trPr>
          <w:trHeight w:val="18"/>
        </w:trPr>
        <w:tc>
          <w:tcPr>
            <w:tcW w:w="716" w:type="dxa"/>
            <w:tcBorders>
              <w:top w:val="single" w:sz="8" w:space="0" w:color="000000"/>
              <w:left w:val="nil"/>
              <w:bottom w:val="single" w:sz="8" w:space="0" w:color="000000"/>
              <w:right w:val="nil"/>
            </w:tcBorders>
            <w:vAlign w:val="center"/>
          </w:tcPr>
          <w:p w14:paraId="1CE61432"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t>9</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1A181EE"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Sulfonylureas prescription within 1 year before diagnosis</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C02510A"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Sulfonylureas within 1 year before diagnosis</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2FEBD4B6"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Normal range of blood calcium within 1 year before diagnosis</w:t>
            </w:r>
          </w:p>
        </w:tc>
      </w:tr>
      <w:tr w:rsidR="0055552B" w:rsidRPr="00DB7AC4" w14:paraId="15C59A65" w14:textId="77777777" w:rsidTr="00D42363">
        <w:trPr>
          <w:trHeight w:val="18"/>
        </w:trPr>
        <w:tc>
          <w:tcPr>
            <w:tcW w:w="716" w:type="dxa"/>
            <w:tcBorders>
              <w:top w:val="single" w:sz="8" w:space="0" w:color="000000"/>
              <w:left w:val="nil"/>
              <w:bottom w:val="single" w:sz="8" w:space="0" w:color="000000"/>
              <w:right w:val="nil"/>
            </w:tcBorders>
            <w:vAlign w:val="center"/>
          </w:tcPr>
          <w:p w14:paraId="51072DF9" w14:textId="77777777" w:rsidR="0055552B" w:rsidRPr="0055552B" w:rsidRDefault="0055552B" w:rsidP="00D42363">
            <w:pPr>
              <w:jc w:val="center"/>
              <w:rPr>
                <w:rFonts w:ascii="Calibri" w:hAnsi="Calibri" w:cs="Calibri"/>
                <w:sz w:val="18"/>
                <w:szCs w:val="18"/>
              </w:rPr>
            </w:pPr>
            <w:r w:rsidRPr="0055552B">
              <w:rPr>
                <w:rFonts w:ascii="Calibri" w:hAnsi="Calibri" w:cs="Calibri"/>
                <w:sz w:val="18"/>
                <w:szCs w:val="18"/>
              </w:rPr>
              <w:lastRenderedPageBreak/>
              <w:t>10</w:t>
            </w:r>
          </w:p>
        </w:tc>
        <w:tc>
          <w:tcPr>
            <w:tcW w:w="281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1B7B9462"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Musculo-skeletal system within 1 year before diagnosis</w:t>
            </w:r>
          </w:p>
        </w:tc>
        <w:tc>
          <w:tcPr>
            <w:tcW w:w="281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EF82ECB"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Normal range blood alkaline phosphatase within 1 year before diagnosis</w:t>
            </w:r>
          </w:p>
        </w:tc>
        <w:tc>
          <w:tcPr>
            <w:tcW w:w="282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2280E9E"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 xml:space="preserve">Insulin </w:t>
            </w:r>
            <w:proofErr w:type="spellStart"/>
            <w:r w:rsidRPr="0055552B">
              <w:rPr>
                <w:rFonts w:ascii="Calibri" w:hAnsi="Calibri" w:cs="Calibri"/>
                <w:sz w:val="18"/>
                <w:szCs w:val="18"/>
              </w:rPr>
              <w:t>degludec</w:t>
            </w:r>
            <w:proofErr w:type="spellEnd"/>
            <w:r w:rsidRPr="0055552B">
              <w:rPr>
                <w:rFonts w:ascii="Calibri" w:hAnsi="Calibri" w:cs="Calibri"/>
                <w:sz w:val="18"/>
                <w:szCs w:val="18"/>
              </w:rPr>
              <w:t xml:space="preserve"> prescription within 1 year before diagnosis</w:t>
            </w:r>
          </w:p>
        </w:tc>
      </w:tr>
      <w:tr w:rsidR="0055552B" w:rsidRPr="00DB7AC4" w14:paraId="1DD40E17" w14:textId="77777777" w:rsidTr="00D42363">
        <w:trPr>
          <w:trHeight w:val="15"/>
        </w:trPr>
        <w:tc>
          <w:tcPr>
            <w:tcW w:w="716" w:type="dxa"/>
            <w:tcBorders>
              <w:top w:val="single" w:sz="8" w:space="0" w:color="000000"/>
              <w:left w:val="nil"/>
              <w:bottom w:val="single" w:sz="8" w:space="0" w:color="000000"/>
              <w:right w:val="nil"/>
            </w:tcBorders>
            <w:vAlign w:val="center"/>
          </w:tcPr>
          <w:p w14:paraId="58C0C3BF" w14:textId="77777777" w:rsidR="0055552B" w:rsidRPr="0055552B" w:rsidRDefault="0055552B" w:rsidP="00D42363">
            <w:pPr>
              <w:rPr>
                <w:rFonts w:ascii="Calibri" w:hAnsi="Calibri" w:cs="Calibri"/>
                <w:sz w:val="18"/>
                <w:szCs w:val="18"/>
              </w:rPr>
            </w:pPr>
          </w:p>
        </w:tc>
        <w:tc>
          <w:tcPr>
            <w:tcW w:w="8458" w:type="dxa"/>
            <w:gridSpan w:val="3"/>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62252EC" w14:textId="77777777" w:rsidR="0055552B" w:rsidRPr="0055552B" w:rsidRDefault="0055552B" w:rsidP="00D42363">
            <w:pPr>
              <w:rPr>
                <w:rFonts w:ascii="Calibri" w:hAnsi="Calibri" w:cs="Calibri"/>
                <w:sz w:val="18"/>
                <w:szCs w:val="18"/>
              </w:rPr>
            </w:pPr>
            <w:r w:rsidRPr="0055552B">
              <w:rPr>
                <w:rFonts w:ascii="Calibri" w:hAnsi="Calibri" w:cs="Calibri"/>
                <w:sz w:val="18"/>
                <w:szCs w:val="18"/>
              </w:rPr>
              <w:t xml:space="preserve">Notes: LASSO, least absolute shrinkage and selection operator; </w:t>
            </w:r>
            <w:proofErr w:type="spellStart"/>
            <w:r w:rsidRPr="0055552B">
              <w:rPr>
                <w:rFonts w:ascii="Calibri" w:hAnsi="Calibri" w:cs="Calibri"/>
                <w:sz w:val="18"/>
                <w:szCs w:val="18"/>
              </w:rPr>
              <w:t>XGBoost</w:t>
            </w:r>
            <w:proofErr w:type="spellEnd"/>
            <w:r w:rsidRPr="0055552B">
              <w:rPr>
                <w:rFonts w:ascii="Calibri" w:hAnsi="Calibri" w:cs="Calibri"/>
                <w:sz w:val="18"/>
                <w:szCs w:val="18"/>
              </w:rPr>
              <w:t xml:space="preserve">, extreme gradient boosting. </w:t>
            </w:r>
          </w:p>
        </w:tc>
      </w:tr>
    </w:tbl>
    <w:p w14:paraId="6B2D40A0" w14:textId="77777777" w:rsidR="0055552B" w:rsidRDefault="0055552B" w:rsidP="0055552B">
      <w:pPr>
        <w:pBdr>
          <w:top w:val="nil"/>
          <w:left w:val="nil"/>
          <w:bottom w:val="nil"/>
          <w:right w:val="nil"/>
          <w:between w:val="nil"/>
        </w:pBdr>
        <w:spacing w:after="120"/>
        <w:jc w:val="both"/>
        <w:rPr>
          <w:rFonts w:ascii="Calibri" w:eastAsia="Calibri" w:hAnsi="Calibri" w:cs="Calibri" w:hint="eastAsia"/>
          <w:sz w:val="22"/>
          <w:szCs w:val="22"/>
        </w:rPr>
      </w:pPr>
    </w:p>
    <w:p w14:paraId="765491C4" w14:textId="77777777" w:rsidR="0055552B" w:rsidRDefault="0055552B" w:rsidP="0055552B">
      <w:pPr>
        <w:rPr>
          <w:b/>
          <w:bCs/>
          <w:sz w:val="24"/>
          <w:szCs w:val="24"/>
        </w:rPr>
      </w:pPr>
      <w:r>
        <w:rPr>
          <w:b/>
          <w:bCs/>
          <w:noProof/>
          <w:sz w:val="24"/>
          <w:szCs w:val="24"/>
        </w:rPr>
        <w:drawing>
          <wp:inline distT="0" distB="0" distL="0" distR="0" wp14:anchorId="4AB47C07" wp14:editId="0906F010">
            <wp:extent cx="5729956" cy="2877861"/>
            <wp:effectExtent l="0" t="0" r="0" b="5080"/>
            <wp:docPr id="1448015019" name="그림 1" descr="도표, 라인, 그래프, 경사이(가) 표시된 사진&#10;&#10;AI가 생성한 콘텐츠는 부정확할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015019" name="그림 1" descr="도표, 라인, 그래프, 경사이(가) 표시된 사진&#10;&#10;AI가 생성한 콘텐츠는 부정확할 수 있습니다."/>
                    <pic:cNvPicPr/>
                  </pic:nvPicPr>
                  <pic:blipFill rotWithShape="1">
                    <a:blip r:embed="rId11" cstate="print">
                      <a:extLst>
                        <a:ext uri="{28A0092B-C50C-407E-A947-70E740481C1C}">
                          <a14:useLocalDpi xmlns:a14="http://schemas.microsoft.com/office/drawing/2010/main" val="0"/>
                        </a:ext>
                      </a:extLst>
                    </a:blip>
                    <a:srcRect l="5822" t="21002" r="8195" b="17945"/>
                    <a:stretch/>
                  </pic:blipFill>
                  <pic:spPr bwMode="auto">
                    <a:xfrm>
                      <a:off x="0" y="0"/>
                      <a:ext cx="5775285" cy="2900627"/>
                    </a:xfrm>
                    <a:prstGeom prst="rect">
                      <a:avLst/>
                    </a:prstGeom>
                    <a:ln>
                      <a:noFill/>
                    </a:ln>
                    <a:extLst>
                      <a:ext uri="{53640926-AAD7-44D8-BBD7-CCE9431645EC}">
                        <a14:shadowObscured xmlns:a14="http://schemas.microsoft.com/office/drawing/2010/main"/>
                      </a:ext>
                    </a:extLst>
                  </pic:spPr>
                </pic:pic>
              </a:graphicData>
            </a:graphic>
          </wp:inline>
        </w:drawing>
      </w:r>
    </w:p>
    <w:p w14:paraId="256910C1" w14:textId="77777777" w:rsidR="0055552B" w:rsidRPr="0055552B" w:rsidRDefault="0055552B" w:rsidP="0055552B">
      <w:pPr>
        <w:rPr>
          <w:rFonts w:asciiTheme="majorHAnsi" w:hAnsiTheme="majorHAnsi" w:cstheme="majorHAnsi"/>
          <w:b/>
          <w:bCs/>
          <w:sz w:val="18"/>
          <w:szCs w:val="18"/>
        </w:rPr>
      </w:pPr>
      <w:r w:rsidRPr="0055552B">
        <w:rPr>
          <w:rFonts w:asciiTheme="majorHAnsi" w:hAnsiTheme="majorHAnsi" w:cstheme="majorHAnsi"/>
          <w:b/>
          <w:bCs/>
          <w:sz w:val="18"/>
          <w:szCs w:val="18"/>
        </w:rPr>
        <w:t>Figure 1. Area Under the Receiver operating characteristic (AUROC) curve of models predicting hyperuricemia. (A) ROC curve for the models according to algorithms. (B) ROC curve for internal and external validations. The performance of the models using the area under the receiver operating characteristic curve is compared.</w:t>
      </w:r>
    </w:p>
    <w:p w14:paraId="2D4E0656" w14:textId="77777777" w:rsidR="0055552B" w:rsidRPr="00B81249" w:rsidRDefault="0055552B" w:rsidP="00B81249">
      <w:pPr>
        <w:pBdr>
          <w:top w:val="nil"/>
          <w:left w:val="nil"/>
          <w:bottom w:val="nil"/>
          <w:right w:val="nil"/>
          <w:between w:val="nil"/>
        </w:pBdr>
        <w:tabs>
          <w:tab w:val="left" w:pos="9360"/>
        </w:tabs>
        <w:spacing w:after="120"/>
        <w:jc w:val="both"/>
        <w:rPr>
          <w:rFonts w:ascii="Calibri" w:eastAsia="Calibri" w:hAnsi="Calibri" w:cs="Calibri" w:hint="eastAsia"/>
          <w:sz w:val="22"/>
          <w:szCs w:val="22"/>
        </w:rPr>
      </w:pPr>
    </w:p>
    <w:p w14:paraId="4F869C4B" w14:textId="77777777" w:rsidR="00B81249" w:rsidRDefault="00B81249" w:rsidP="00B81249">
      <w:pPr>
        <w:pBdr>
          <w:top w:val="nil"/>
          <w:left w:val="nil"/>
          <w:bottom w:val="nil"/>
          <w:right w:val="nil"/>
          <w:between w:val="nil"/>
        </w:pBdr>
        <w:tabs>
          <w:tab w:val="left" w:pos="9360"/>
        </w:tabs>
        <w:spacing w:after="120"/>
        <w:jc w:val="both"/>
        <w:rPr>
          <w:rFonts w:ascii="Calibri" w:eastAsia="Calibri" w:hAnsi="Calibri" w:cs="Calibri"/>
          <w:sz w:val="22"/>
          <w:szCs w:val="22"/>
        </w:rPr>
      </w:pPr>
      <w:r w:rsidRPr="00B81249">
        <w:rPr>
          <w:rFonts w:ascii="Calibri" w:eastAsia="Calibri" w:hAnsi="Calibri" w:cs="Calibri"/>
          <w:sz w:val="22"/>
          <w:szCs w:val="22"/>
        </w:rPr>
        <w:t>Over a five-year follow-up period, predicted hyperuricemia was strongly associated with adverse outcomes. In the AUSOM cohort, patients predicted to have hyperuricemia exhibited significantly increased risks of renal failure (log-rank p &lt; 0.001), cardiovascular disease (p = 0.004), and mortality (p &lt; 0.001). A meta-analysis of all four databases confirmed these findings, yielding pooled HRs of 3.28 (95% CI: 2.31–4.65) for renal failure, 1.30 (95% CI: 1.14–1.48) for cardiovascular disorders, and 3.37 (95% CI: 2.50–4.56) for mortality.</w:t>
      </w:r>
    </w:p>
    <w:p w14:paraId="45BC64B6" w14:textId="77777777" w:rsidR="00CA2A4C" w:rsidRDefault="00CA2A4C" w:rsidP="00EB4110">
      <w:pPr>
        <w:pBdr>
          <w:top w:val="nil"/>
          <w:left w:val="nil"/>
          <w:bottom w:val="nil"/>
          <w:right w:val="nil"/>
          <w:between w:val="nil"/>
        </w:pBdr>
        <w:tabs>
          <w:tab w:val="left" w:pos="9360"/>
        </w:tabs>
        <w:spacing w:after="120"/>
        <w:jc w:val="both"/>
        <w:rPr>
          <w:rFonts w:ascii="Calibri" w:eastAsia="Calibri" w:hAnsi="Calibri" w:cs="Calibri"/>
          <w:sz w:val="22"/>
          <w:szCs w:val="22"/>
        </w:rPr>
      </w:pPr>
    </w:p>
    <w:p w14:paraId="20379E96" w14:textId="6915E4FD" w:rsidR="0055552B" w:rsidRPr="0055552B" w:rsidRDefault="0055552B" w:rsidP="0055552B">
      <w:pPr>
        <w:rPr>
          <w:rFonts w:ascii="Calibri" w:hAnsi="Calibri" w:cs="Calibri"/>
          <w:b/>
          <w:bCs/>
        </w:rPr>
      </w:pPr>
      <w:r>
        <w:rPr>
          <w:b/>
          <w:bCs/>
          <w:noProof/>
          <w:sz w:val="24"/>
          <w:szCs w:val="24"/>
        </w:rPr>
        <w:lastRenderedPageBreak/>
        <w:drawing>
          <wp:inline distT="0" distB="0" distL="0" distR="0" wp14:anchorId="10CB9120" wp14:editId="6C8B27AD">
            <wp:extent cx="5735781" cy="4498108"/>
            <wp:effectExtent l="0" t="0" r="5080" b="0"/>
            <wp:docPr id="1835571741" name="그림 3" descr="텍스트, 도표, 스크린샷, 영수증이(가) 표시된 사진&#10;&#10;AI가 생성한 콘텐츠는 부정확할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571741" name="그림 3" descr="텍스트, 도표, 스크린샷, 영수증이(가) 표시된 사진&#10;&#10;AI가 생성한 콘텐츠는 부정확할 수 있습니다."/>
                    <pic:cNvPicPr/>
                  </pic:nvPicPr>
                  <pic:blipFill rotWithShape="1">
                    <a:blip r:embed="rId12" cstate="print">
                      <a:extLst>
                        <a:ext uri="{28A0092B-C50C-407E-A947-70E740481C1C}">
                          <a14:useLocalDpi xmlns:a14="http://schemas.microsoft.com/office/drawing/2010/main" val="0"/>
                        </a:ext>
                      </a:extLst>
                    </a:blip>
                    <a:srcRect l="21439" t="14863" r="14551" b="14169"/>
                    <a:stretch/>
                  </pic:blipFill>
                  <pic:spPr bwMode="auto">
                    <a:xfrm>
                      <a:off x="0" y="0"/>
                      <a:ext cx="5756639" cy="4514465"/>
                    </a:xfrm>
                    <a:prstGeom prst="rect">
                      <a:avLst/>
                    </a:prstGeom>
                    <a:ln>
                      <a:noFill/>
                    </a:ln>
                    <a:extLst>
                      <a:ext uri="{53640926-AAD7-44D8-BBD7-CCE9431645EC}">
                        <a14:shadowObscured xmlns:a14="http://schemas.microsoft.com/office/drawing/2010/main"/>
                      </a:ext>
                    </a:extLst>
                  </pic:spPr>
                </pic:pic>
              </a:graphicData>
            </a:graphic>
          </wp:inline>
        </w:drawing>
      </w:r>
      <w:r w:rsidRPr="0055552B">
        <w:rPr>
          <w:rFonts w:ascii="Calibri" w:hAnsi="Calibri" w:cs="Calibri"/>
          <w:b/>
          <w:bCs/>
          <w:sz w:val="18"/>
          <w:szCs w:val="18"/>
        </w:rPr>
        <w:t>Figure</w:t>
      </w:r>
      <w:r>
        <w:rPr>
          <w:rFonts w:ascii="Calibri" w:hAnsi="Calibri" w:cs="Calibri"/>
          <w:b/>
          <w:bCs/>
          <w:sz w:val="18"/>
          <w:szCs w:val="18"/>
        </w:rPr>
        <w:fldChar w:fldCharType="begin">
          <w:fldData xml:space="preserve">PEVuZE5vdGU+PENpdGU+PEF1dGhvcj5UcmlmaXLDsjwvQXV0aG9yPjxZZWFyPjIwMTM8L1llYXI+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</w:fldData>
        </w:fldChar>
      </w:r>
      <w:r>
        <w:rPr>
          <w:rFonts w:ascii="Calibri" w:hAnsi="Calibri" w:cs="Calibri"/>
          <w:b/>
          <w:bCs/>
          <w:sz w:val="18"/>
          <w:szCs w:val="18"/>
        </w:rPr>
        <w:instrText xml:space="preserve"> ADDIN EN.CITE </w:instrText>
      </w:r>
      <w:r>
        <w:rPr>
          <w:rFonts w:ascii="Calibri" w:hAnsi="Calibri" w:cs="Calibri"/>
          <w:b/>
          <w:bCs/>
          <w:sz w:val="18"/>
          <w:szCs w:val="18"/>
        </w:rPr>
        <w:fldChar w:fldCharType="begin">
          <w:fldData xml:space="preserve">PEVuZE5vdGU+PENpdGU+PEF1dGhvcj5UcmlmaXLDsjwvQXV0aG9yPjxZZWFyPjIwMTM8L1llYXI+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</w:fldData>
        </w:fldChar>
      </w:r>
      <w:r>
        <w:rPr>
          <w:rFonts w:ascii="Calibri" w:hAnsi="Calibri" w:cs="Calibri"/>
          <w:b/>
          <w:bCs/>
          <w:sz w:val="18"/>
          <w:szCs w:val="18"/>
        </w:rPr>
        <w:instrText xml:space="preserve"> ADDIN EN.CITE.DATA </w:instrText>
      </w:r>
      <w:r>
        <w:rPr>
          <w:rFonts w:ascii="Calibri" w:hAnsi="Calibri" w:cs="Calibri"/>
          <w:b/>
          <w:bCs/>
          <w:sz w:val="18"/>
          <w:szCs w:val="18"/>
        </w:rPr>
      </w:r>
      <w:r>
        <w:rPr>
          <w:rFonts w:ascii="Calibri" w:hAnsi="Calibri" w:cs="Calibri"/>
          <w:b/>
          <w:bCs/>
          <w:sz w:val="18"/>
          <w:szCs w:val="18"/>
        </w:rPr>
        <w:fldChar w:fldCharType="end"/>
      </w:r>
      <w:r>
        <w:rPr>
          <w:rFonts w:ascii="Calibri" w:hAnsi="Calibri" w:cs="Calibri"/>
          <w:b/>
          <w:bCs/>
          <w:sz w:val="18"/>
          <w:szCs w:val="18"/>
        </w:rPr>
        <w:fldChar w:fldCharType="separate"/>
      </w:r>
      <w:r>
        <w:rPr>
          <w:rFonts w:ascii="Calibri" w:hAnsi="Calibri" w:cs="Calibri"/>
          <w:b/>
          <w:bCs/>
          <w:noProof/>
          <w:sz w:val="18"/>
          <w:szCs w:val="18"/>
        </w:rPr>
        <w:t>(1-4)</w:t>
      </w:r>
      <w:r>
        <w:rPr>
          <w:rFonts w:ascii="Calibri" w:hAnsi="Calibri" w:cs="Calibri"/>
          <w:b/>
          <w:bCs/>
          <w:sz w:val="18"/>
          <w:szCs w:val="18"/>
        </w:rPr>
        <w:fldChar w:fldCharType="end"/>
      </w:r>
      <w:r w:rsidRPr="0055552B">
        <w:rPr>
          <w:rFonts w:ascii="Calibri" w:hAnsi="Calibri" w:cs="Calibri"/>
          <w:b/>
          <w:bCs/>
          <w:sz w:val="18"/>
          <w:szCs w:val="18"/>
        </w:rPr>
        <w:t xml:space="preserve"> 3. Risk of long-term outcome in 5 years in patients predicted by the machine-learning model to have hyperuricemia within 1 year</w:t>
      </w:r>
    </w:p>
    <w:p w14:paraId="52E94E79" w14:textId="77777777" w:rsidR="003F64D4" w:rsidRDefault="003F64D4">
      <w:pPr>
        <w:pBdr>
          <w:top w:val="nil"/>
          <w:left w:val="nil"/>
          <w:bottom w:val="nil"/>
          <w:right w:val="nil"/>
          <w:between w:val="nil"/>
        </w:pBdr>
        <w:tabs>
          <w:tab w:val="left" w:pos="9360"/>
        </w:tabs>
        <w:spacing w:after="120"/>
        <w:jc w:val="both"/>
        <w:rPr>
          <w:rFonts w:ascii="Calibri" w:eastAsia="Calibri" w:hAnsi="Calibri" w:cs="Calibri" w:hint="eastAsia"/>
          <w:sz w:val="22"/>
          <w:szCs w:val="22"/>
        </w:rPr>
      </w:pPr>
    </w:p>
    <w:p w14:paraId="1BE828F4" w14:textId="002741D2" w:rsidR="003F64D4" w:rsidRDefault="00000000">
      <w:pPr>
        <w:tabs>
          <w:tab w:val="left" w:pos="9360"/>
        </w:tabs>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5757A991" w14:textId="4BD31721" w:rsidR="00B81249" w:rsidRPr="00B81249" w:rsidRDefault="00B81249" w:rsidP="00B81249">
      <w:pPr>
        <w:pBdr>
          <w:top w:val="nil"/>
          <w:left w:val="nil"/>
          <w:bottom w:val="nil"/>
          <w:right w:val="nil"/>
          <w:between w:val="nil"/>
        </w:pBdr>
        <w:spacing w:after="120"/>
        <w:jc w:val="both"/>
        <w:rPr>
          <w:rFonts w:ascii="Calibri" w:eastAsia="Calibri" w:hAnsi="Calibri" w:cs="Calibri" w:hint="eastAsia"/>
          <w:sz w:val="22"/>
          <w:szCs w:val="22"/>
        </w:rPr>
      </w:pPr>
      <w:r w:rsidRPr="00B81249">
        <w:rPr>
          <w:rFonts w:ascii="Calibri" w:eastAsia="Calibri" w:hAnsi="Calibri" w:cs="Calibri"/>
          <w:sz w:val="22"/>
          <w:szCs w:val="22"/>
        </w:rPr>
        <w:t>We developed and externally validated a robust machine learning model for predicting one-year hyperuricemia in newly diagnosed T2DM patients. The model demonstrated strong performance across diverse institutions and data environments. Importantly, predicted hyperuricemia was associated with a significantly elevated risk of renal failure, cardiovascular complications, and death over a five-year follow-up period.</w:t>
      </w:r>
    </w:p>
    <w:p w14:paraId="4E458B29" w14:textId="59110102" w:rsidR="00C349F2" w:rsidRPr="00CA2A4C" w:rsidRDefault="00B81249" w:rsidP="00B81249">
      <w:pPr>
        <w:pBdr>
          <w:top w:val="nil"/>
          <w:left w:val="nil"/>
          <w:bottom w:val="nil"/>
          <w:right w:val="nil"/>
          <w:between w:val="nil"/>
        </w:pBdr>
        <w:spacing w:after="120"/>
        <w:jc w:val="both"/>
        <w:rPr>
          <w:rFonts w:ascii="Calibri" w:eastAsia="Calibri" w:hAnsi="Calibri" w:cs="Calibri" w:hint="eastAsia"/>
          <w:sz w:val="22"/>
          <w:szCs w:val="22"/>
        </w:rPr>
      </w:pPr>
      <w:r w:rsidRPr="00B81249">
        <w:rPr>
          <w:rFonts w:ascii="Calibri" w:eastAsia="Calibri" w:hAnsi="Calibri" w:cs="Calibri"/>
          <w:sz w:val="22"/>
          <w:szCs w:val="22"/>
        </w:rPr>
        <w:t>These findings suggest that early identification of hyperuricemia risk using real-world EHR data may inform risk stratification and long-term management strategies in T2DM care. Hyperuricemia may serve not only as a metabolic byproduct but also as a prognostic biomarker for adverse outcomes in diabetes. Our study demonstrates the potential of the OMOP-CDM framework and machine learning approaches in enabling scalable, generalizable, and clinically relevant predictions from routine health data.</w:t>
      </w:r>
    </w:p>
    <w:p w14:paraId="724EB309" w14:textId="77777777" w:rsidR="003F64D4" w:rsidRDefault="003F64D4">
      <w:pPr>
        <w:pBdr>
          <w:top w:val="nil"/>
          <w:left w:val="nil"/>
          <w:bottom w:val="nil"/>
          <w:right w:val="nil"/>
          <w:between w:val="nil"/>
        </w:pBdr>
        <w:spacing w:after="120"/>
        <w:jc w:val="both"/>
        <w:rPr>
          <w:rFonts w:ascii="Calibri" w:eastAsia="Calibri" w:hAnsi="Calibri" w:cs="Calibri"/>
          <w:b/>
          <w:sz w:val="22"/>
          <w:szCs w:val="22"/>
        </w:rPr>
      </w:pPr>
    </w:p>
    <w:p w14:paraId="503747E5" w14:textId="77777777" w:rsidR="003F64D4" w:rsidRDefault="00000000">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p>
    <w:p w14:paraId="619000FD" w14:textId="77777777" w:rsidR="0053312A" w:rsidRPr="0053312A" w:rsidRDefault="0055552B" w:rsidP="0053312A">
      <w:pPr>
        <w:pStyle w:val="EndNoteBibliography"/>
        <w:rPr>
          <w:rFonts w:asciiTheme="majorHAnsi" w:hAnsiTheme="majorHAnsi" w:cstheme="majorHAnsi"/>
          <w:noProof/>
        </w:rPr>
      </w:pPr>
      <w:r w:rsidRPr="0053312A">
        <w:rPr>
          <w:rFonts w:asciiTheme="majorHAnsi" w:eastAsia="Calibri" w:hAnsiTheme="majorHAnsi" w:cstheme="majorHAnsi"/>
          <w:sz w:val="22"/>
          <w:szCs w:val="22"/>
        </w:rPr>
        <w:fldChar w:fldCharType="begin"/>
      </w:r>
      <w:r w:rsidRPr="0053312A">
        <w:rPr>
          <w:rFonts w:asciiTheme="majorHAnsi" w:eastAsia="Calibri" w:hAnsiTheme="majorHAnsi" w:cstheme="majorHAnsi"/>
          <w:sz w:val="22"/>
          <w:szCs w:val="22"/>
        </w:rPr>
        <w:instrText xml:space="preserve"> ADDIN EN.REFLIST </w:instrText>
      </w:r>
      <w:r w:rsidRPr="0053312A">
        <w:rPr>
          <w:rFonts w:asciiTheme="majorHAnsi" w:eastAsia="Calibri" w:hAnsiTheme="majorHAnsi" w:cstheme="majorHAnsi"/>
          <w:sz w:val="22"/>
          <w:szCs w:val="22"/>
        </w:rPr>
        <w:fldChar w:fldCharType="separate"/>
      </w:r>
      <w:r w:rsidR="0053312A" w:rsidRPr="0053312A">
        <w:rPr>
          <w:rFonts w:asciiTheme="majorHAnsi" w:hAnsiTheme="majorHAnsi" w:cstheme="majorHAnsi"/>
          <w:noProof/>
        </w:rPr>
        <w:t>1.</w:t>
      </w:r>
      <w:r w:rsidR="0053312A" w:rsidRPr="0053312A">
        <w:rPr>
          <w:rFonts w:asciiTheme="majorHAnsi" w:hAnsiTheme="majorHAnsi" w:cstheme="majorHAnsi"/>
          <w:noProof/>
        </w:rPr>
        <w:tab/>
        <w:t xml:space="preserve">Trifirò G, Morabito P, Cavagna L, Ferrajolo C, Pecchioli S, Simonetti M, et al. Epidemiology of gout and hyperuricaemia in Italy during the years 2005–2009: a nationwide population-based study. Annals of the rheumatic </w:t>
      </w:r>
      <w:r w:rsidR="0053312A" w:rsidRPr="0053312A">
        <w:rPr>
          <w:rFonts w:asciiTheme="majorHAnsi" w:hAnsiTheme="majorHAnsi" w:cstheme="majorHAnsi"/>
          <w:noProof/>
        </w:rPr>
        <w:lastRenderedPageBreak/>
        <w:t>diseases. 2013;72(5):694-700.</w:t>
      </w:r>
    </w:p>
    <w:p w14:paraId="4798822F" w14:textId="77777777" w:rsidR="0053312A" w:rsidRPr="0053312A" w:rsidRDefault="0053312A" w:rsidP="0053312A">
      <w:pPr>
        <w:pStyle w:val="EndNoteBibliography"/>
        <w:rPr>
          <w:rFonts w:asciiTheme="majorHAnsi" w:hAnsiTheme="majorHAnsi" w:cstheme="majorHAnsi"/>
          <w:noProof/>
        </w:rPr>
      </w:pPr>
      <w:r w:rsidRPr="0053312A">
        <w:rPr>
          <w:rFonts w:asciiTheme="majorHAnsi" w:hAnsiTheme="majorHAnsi" w:cstheme="majorHAnsi"/>
          <w:noProof/>
        </w:rPr>
        <w:t>2.</w:t>
      </w:r>
      <w:r w:rsidRPr="0053312A">
        <w:rPr>
          <w:rFonts w:asciiTheme="majorHAnsi" w:hAnsiTheme="majorHAnsi" w:cstheme="majorHAnsi"/>
          <w:noProof/>
        </w:rPr>
        <w:tab/>
        <w:t>Ma L, Wang J, Ma L, Wang XM. The link between hyperuricemia and diabetes: insights from a quantitative analysis of scientific literature. Frontiers in Endocrinology. 2025;Volume 15 - 2024.</w:t>
      </w:r>
    </w:p>
    <w:p w14:paraId="196EEAB3" w14:textId="77777777" w:rsidR="0053312A" w:rsidRPr="0053312A" w:rsidRDefault="0053312A" w:rsidP="0053312A">
      <w:pPr>
        <w:pStyle w:val="EndNoteBibliography"/>
        <w:rPr>
          <w:rFonts w:asciiTheme="majorHAnsi" w:hAnsiTheme="majorHAnsi" w:cstheme="majorHAnsi"/>
          <w:noProof/>
        </w:rPr>
      </w:pPr>
      <w:r w:rsidRPr="0053312A">
        <w:rPr>
          <w:rFonts w:asciiTheme="majorHAnsi" w:hAnsiTheme="majorHAnsi" w:cstheme="majorHAnsi"/>
          <w:noProof/>
        </w:rPr>
        <w:t>3.</w:t>
      </w:r>
      <w:r w:rsidRPr="0053312A">
        <w:rPr>
          <w:rFonts w:asciiTheme="majorHAnsi" w:hAnsiTheme="majorHAnsi" w:cstheme="majorHAnsi"/>
          <w:noProof/>
        </w:rPr>
        <w:tab/>
        <w:t>Zoppini G, Targher G, Bonora E. The role of serum uric acid in cardiovascular disease in type 2 diabetic and non-diabetic subjects: a narrative review. Journal of endocrinological investigation. 2011;34:881-6.</w:t>
      </w:r>
    </w:p>
    <w:p w14:paraId="43058896" w14:textId="77777777" w:rsidR="0053312A" w:rsidRPr="0053312A" w:rsidRDefault="0053312A" w:rsidP="0053312A">
      <w:pPr>
        <w:pStyle w:val="EndNoteBibliography"/>
        <w:rPr>
          <w:rFonts w:asciiTheme="majorHAnsi" w:hAnsiTheme="majorHAnsi" w:cstheme="majorHAnsi"/>
          <w:noProof/>
        </w:rPr>
      </w:pPr>
      <w:r w:rsidRPr="0053312A">
        <w:rPr>
          <w:rFonts w:asciiTheme="majorHAnsi" w:hAnsiTheme="majorHAnsi" w:cstheme="majorHAnsi"/>
          <w:noProof/>
        </w:rPr>
        <w:t>4.</w:t>
      </w:r>
      <w:r w:rsidRPr="0053312A">
        <w:rPr>
          <w:rFonts w:asciiTheme="majorHAnsi" w:hAnsiTheme="majorHAnsi" w:cstheme="majorHAnsi"/>
          <w:noProof/>
        </w:rPr>
        <w:tab/>
        <w:t>Jiang J, Zhang T, Liu Y, Chang Q, Zhao Y, Guo C, et al. Prevalence of diabetes in patients with hyperuricemia and gout: a systematic review and meta-analysis. Current Diabetes Reports. 2023;23(6):103-17.</w:t>
      </w:r>
    </w:p>
    <w:p w14:paraId="5756F544" w14:textId="48821FAA" w:rsidR="00EF02DF" w:rsidRDefault="0055552B" w:rsidP="0055552B">
      <w:pPr>
        <w:pBdr>
          <w:top w:val="nil"/>
          <w:left w:val="nil"/>
          <w:bottom w:val="nil"/>
          <w:right w:val="nil"/>
          <w:between w:val="nil"/>
        </w:pBdr>
        <w:jc w:val="both"/>
        <w:rPr>
          <w:rFonts w:ascii="Calibri" w:eastAsia="Calibri" w:hAnsi="Calibri" w:cs="Calibri"/>
          <w:sz w:val="22"/>
          <w:szCs w:val="22"/>
        </w:rPr>
      </w:pPr>
      <w:r w:rsidRPr="0053312A">
        <w:rPr>
          <w:rFonts w:asciiTheme="majorHAnsi" w:eastAsia="Calibri" w:hAnsiTheme="majorHAnsi" w:cstheme="majorHAnsi"/>
          <w:sz w:val="22"/>
          <w:szCs w:val="22"/>
        </w:rPr>
        <w:fldChar w:fldCharType="end"/>
      </w:r>
    </w:p>
    <w:sectPr w:rsidR="00EF02DF">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23B23" w14:textId="77777777" w:rsidR="00E87F41" w:rsidRDefault="00E87F41">
      <w:r>
        <w:separator/>
      </w:r>
    </w:p>
  </w:endnote>
  <w:endnote w:type="continuationSeparator" w:id="0">
    <w:p w14:paraId="1541C6EC" w14:textId="77777777" w:rsidR="00E87F41" w:rsidRDefault="00E87F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굴림체">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72F44" w14:textId="77777777" w:rsidR="003F64D4" w:rsidRDefault="003F64D4">
    <w:pPr>
      <w:pBdr>
        <w:top w:val="nil"/>
        <w:left w:val="nil"/>
        <w:bottom w:val="nil"/>
        <w:right w:val="nil"/>
        <w:between w:val="nil"/>
      </w:pBdr>
      <w:tabs>
        <w:tab w:val="center" w:pos="4320"/>
        <w:tab w:val="right" w:pos="8640"/>
      </w:tabs>
      <w:jc w:val="right"/>
      <w:rPr>
        <w:color w:val="000000"/>
      </w:rPr>
    </w:pPr>
  </w:p>
  <w:p w14:paraId="118CF921" w14:textId="77777777" w:rsidR="003F64D4" w:rsidRDefault="003F64D4">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FA7C6" w14:textId="77777777" w:rsidR="00E87F41" w:rsidRDefault="00E87F41">
      <w:r>
        <w:separator/>
      </w:r>
    </w:p>
  </w:footnote>
  <w:footnote w:type="continuationSeparator" w:id="0">
    <w:p w14:paraId="3CC9B07A" w14:textId="77777777" w:rsidR="00E87F41" w:rsidRDefault="00E87F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349EC" w14:textId="77777777" w:rsidR="006F1457" w:rsidRDefault="006F1457">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4E7DE" w14:textId="77777777" w:rsidR="006F1457" w:rsidRDefault="006F1457">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86584" w14:textId="77777777" w:rsidR="006F1457" w:rsidRDefault="006F1457">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A4E98"/>
    <w:multiLevelType w:val="multilevel"/>
    <w:tmpl w:val="CBEEEB88"/>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16cid:durableId="6565428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isplayBackgroundShape/>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059sz5ag2zex1eevs6vwx5qxratx9stx0sf&quot;&gt;My EndNote Library&lt;record-ids&gt;&lt;item&gt;18&lt;/item&gt;&lt;item&gt;19&lt;/item&gt;&lt;item&gt;20&lt;/item&gt;&lt;item&gt;21&lt;/item&gt;&lt;/record-ids&gt;&lt;/item&gt;&lt;/Libraries&gt;"/>
  </w:docVars>
  <w:rsids>
    <w:rsidRoot w:val="003F64D4"/>
    <w:rsid w:val="00072D28"/>
    <w:rsid w:val="00124E28"/>
    <w:rsid w:val="002B45A4"/>
    <w:rsid w:val="002F30DC"/>
    <w:rsid w:val="003F64D4"/>
    <w:rsid w:val="0053312A"/>
    <w:rsid w:val="00550EDB"/>
    <w:rsid w:val="0055552B"/>
    <w:rsid w:val="005814BA"/>
    <w:rsid w:val="00606AF7"/>
    <w:rsid w:val="006F1457"/>
    <w:rsid w:val="006F40C5"/>
    <w:rsid w:val="007D5DD0"/>
    <w:rsid w:val="00806EC5"/>
    <w:rsid w:val="00853F72"/>
    <w:rsid w:val="008A2DF2"/>
    <w:rsid w:val="00B1296E"/>
    <w:rsid w:val="00B23844"/>
    <w:rsid w:val="00B81249"/>
    <w:rsid w:val="00BD2F44"/>
    <w:rsid w:val="00C349F2"/>
    <w:rsid w:val="00CA2A4C"/>
    <w:rsid w:val="00D02D01"/>
    <w:rsid w:val="00E87F41"/>
    <w:rsid w:val="00EB4110"/>
    <w:rsid w:val="00EF02DF"/>
    <w:rsid w:val="00F93D9E"/>
    <w:rsid w:val="00F94485"/>
    <w:rsid w:val="00FD26F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6BAAA9"/>
  <w15:docId w15:val="{97A95ACC-07D9-8244-80E0-997A6F108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ko-K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pBdr>
        <w:top w:val="nil"/>
        <w:left w:val="nil"/>
        <w:bottom w:val="nil"/>
        <w:right w:val="nil"/>
        <w:between w:val="nil"/>
      </w:pBdr>
      <w:spacing w:before="240" w:after="120"/>
      <w:jc w:val="center"/>
      <w:outlineLvl w:val="0"/>
    </w:pPr>
    <w:rPr>
      <w:b/>
      <w:color w:val="000000"/>
    </w:rPr>
  </w:style>
  <w:style w:type="paragraph" w:styleId="2">
    <w:name w:val="heading 2"/>
    <w:basedOn w:val="a"/>
    <w:next w:val="a"/>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pBdr>
        <w:top w:val="nil"/>
        <w:left w:val="nil"/>
        <w:bottom w:val="nil"/>
        <w:right w:val="nil"/>
        <w:between w:val="nil"/>
      </w:pBdr>
      <w:jc w:val="center"/>
      <w:outlineLvl w:val="4"/>
    </w:pPr>
    <w:rPr>
      <w:b/>
      <w:color w:val="000000"/>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paragraph" w:styleId="a5">
    <w:name w:val="header"/>
    <w:basedOn w:val="a"/>
    <w:link w:val="Char"/>
    <w:uiPriority w:val="99"/>
    <w:unhideWhenUsed/>
    <w:rsid w:val="006F1457"/>
    <w:pPr>
      <w:tabs>
        <w:tab w:val="center" w:pos="4513"/>
        <w:tab w:val="right" w:pos="9026"/>
      </w:tabs>
      <w:snapToGrid w:val="0"/>
    </w:pPr>
  </w:style>
  <w:style w:type="character" w:customStyle="1" w:styleId="Char">
    <w:name w:val="머리글 Char"/>
    <w:basedOn w:val="a0"/>
    <w:link w:val="a5"/>
    <w:uiPriority w:val="99"/>
    <w:rsid w:val="006F1457"/>
  </w:style>
  <w:style w:type="paragraph" w:styleId="a6">
    <w:name w:val="footer"/>
    <w:basedOn w:val="a"/>
    <w:link w:val="Char0"/>
    <w:uiPriority w:val="99"/>
    <w:unhideWhenUsed/>
    <w:rsid w:val="006F1457"/>
    <w:pPr>
      <w:tabs>
        <w:tab w:val="center" w:pos="4513"/>
        <w:tab w:val="right" w:pos="9026"/>
      </w:tabs>
      <w:snapToGrid w:val="0"/>
    </w:pPr>
  </w:style>
  <w:style w:type="character" w:customStyle="1" w:styleId="Char0">
    <w:name w:val="바닥글 Char"/>
    <w:basedOn w:val="a0"/>
    <w:link w:val="a6"/>
    <w:uiPriority w:val="99"/>
    <w:rsid w:val="006F1457"/>
  </w:style>
  <w:style w:type="paragraph" w:styleId="HTML">
    <w:name w:val="HTML Preformatted"/>
    <w:basedOn w:val="a"/>
    <w:link w:val="HTMLChar"/>
    <w:uiPriority w:val="99"/>
    <w:unhideWhenUsed/>
    <w:rsid w:val="00F9448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굴림체" w:eastAsia="굴림체" w:hAnsi="굴림체" w:cs="굴림체"/>
      <w:sz w:val="24"/>
      <w:szCs w:val="24"/>
    </w:rPr>
  </w:style>
  <w:style w:type="character" w:customStyle="1" w:styleId="HTMLChar">
    <w:name w:val="미리 서식이 지정된 HTML Char"/>
    <w:basedOn w:val="a0"/>
    <w:link w:val="HTML"/>
    <w:uiPriority w:val="99"/>
    <w:rsid w:val="00F94485"/>
    <w:rPr>
      <w:rFonts w:ascii="굴림체" w:eastAsia="굴림체" w:hAnsi="굴림체" w:cs="굴림체"/>
      <w:sz w:val="24"/>
      <w:szCs w:val="24"/>
    </w:rPr>
  </w:style>
  <w:style w:type="table" w:styleId="a7">
    <w:name w:val="Table Grid"/>
    <w:basedOn w:val="a1"/>
    <w:uiPriority w:val="39"/>
    <w:rsid w:val="00F944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caption"/>
    <w:basedOn w:val="a"/>
    <w:next w:val="a"/>
    <w:uiPriority w:val="35"/>
    <w:unhideWhenUsed/>
    <w:qFormat/>
    <w:rsid w:val="00F94485"/>
    <w:rPr>
      <w:b/>
      <w:bCs/>
    </w:rPr>
  </w:style>
  <w:style w:type="paragraph" w:customStyle="1" w:styleId="EndNoteBibliographyTitle">
    <w:name w:val="EndNote Bibliography Title"/>
    <w:basedOn w:val="a"/>
    <w:link w:val="EndNoteBibliographyTitleChar"/>
    <w:rsid w:val="0055552B"/>
    <w:pPr>
      <w:jc w:val="center"/>
    </w:pPr>
  </w:style>
  <w:style w:type="character" w:customStyle="1" w:styleId="EndNoteBibliographyTitleChar">
    <w:name w:val="EndNote Bibliography Title Char"/>
    <w:basedOn w:val="a0"/>
    <w:link w:val="EndNoteBibliographyTitle"/>
    <w:rsid w:val="0055552B"/>
  </w:style>
  <w:style w:type="paragraph" w:customStyle="1" w:styleId="EndNoteBibliography">
    <w:name w:val="EndNote Bibliography"/>
    <w:basedOn w:val="a"/>
    <w:link w:val="EndNoteBibliographyChar"/>
    <w:rsid w:val="0055552B"/>
    <w:pPr>
      <w:jc w:val="both"/>
    </w:pPr>
  </w:style>
  <w:style w:type="character" w:customStyle="1" w:styleId="EndNoteBibliographyChar">
    <w:name w:val="EndNote Bibliography Char"/>
    <w:basedOn w:val="a0"/>
    <w:link w:val="EndNoteBibliography"/>
    <w:rsid w:val="005555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07551">
      <w:bodyDiv w:val="1"/>
      <w:marLeft w:val="0"/>
      <w:marRight w:val="0"/>
      <w:marTop w:val="0"/>
      <w:marBottom w:val="0"/>
      <w:divBdr>
        <w:top w:val="none" w:sz="0" w:space="0" w:color="auto"/>
        <w:left w:val="none" w:sz="0" w:space="0" w:color="auto"/>
        <w:bottom w:val="none" w:sz="0" w:space="0" w:color="auto"/>
        <w:right w:val="none" w:sz="0" w:space="0" w:color="auto"/>
      </w:divBdr>
    </w:div>
    <w:div w:id="194733719">
      <w:bodyDiv w:val="1"/>
      <w:marLeft w:val="0"/>
      <w:marRight w:val="0"/>
      <w:marTop w:val="0"/>
      <w:marBottom w:val="0"/>
      <w:divBdr>
        <w:top w:val="none" w:sz="0" w:space="0" w:color="auto"/>
        <w:left w:val="none" w:sz="0" w:space="0" w:color="auto"/>
        <w:bottom w:val="none" w:sz="0" w:space="0" w:color="auto"/>
        <w:right w:val="none" w:sz="0" w:space="0" w:color="auto"/>
      </w:divBdr>
    </w:div>
    <w:div w:id="233904732">
      <w:bodyDiv w:val="1"/>
      <w:marLeft w:val="0"/>
      <w:marRight w:val="0"/>
      <w:marTop w:val="0"/>
      <w:marBottom w:val="0"/>
      <w:divBdr>
        <w:top w:val="none" w:sz="0" w:space="0" w:color="auto"/>
        <w:left w:val="none" w:sz="0" w:space="0" w:color="auto"/>
        <w:bottom w:val="none" w:sz="0" w:space="0" w:color="auto"/>
        <w:right w:val="none" w:sz="0" w:space="0" w:color="auto"/>
      </w:divBdr>
    </w:div>
    <w:div w:id="259601599">
      <w:bodyDiv w:val="1"/>
      <w:marLeft w:val="0"/>
      <w:marRight w:val="0"/>
      <w:marTop w:val="0"/>
      <w:marBottom w:val="0"/>
      <w:divBdr>
        <w:top w:val="none" w:sz="0" w:space="0" w:color="auto"/>
        <w:left w:val="none" w:sz="0" w:space="0" w:color="auto"/>
        <w:bottom w:val="none" w:sz="0" w:space="0" w:color="auto"/>
        <w:right w:val="none" w:sz="0" w:space="0" w:color="auto"/>
      </w:divBdr>
    </w:div>
    <w:div w:id="300624422">
      <w:bodyDiv w:val="1"/>
      <w:marLeft w:val="0"/>
      <w:marRight w:val="0"/>
      <w:marTop w:val="0"/>
      <w:marBottom w:val="0"/>
      <w:divBdr>
        <w:top w:val="none" w:sz="0" w:space="0" w:color="auto"/>
        <w:left w:val="none" w:sz="0" w:space="0" w:color="auto"/>
        <w:bottom w:val="none" w:sz="0" w:space="0" w:color="auto"/>
        <w:right w:val="none" w:sz="0" w:space="0" w:color="auto"/>
      </w:divBdr>
    </w:div>
    <w:div w:id="352070079">
      <w:bodyDiv w:val="1"/>
      <w:marLeft w:val="0"/>
      <w:marRight w:val="0"/>
      <w:marTop w:val="0"/>
      <w:marBottom w:val="0"/>
      <w:divBdr>
        <w:top w:val="none" w:sz="0" w:space="0" w:color="auto"/>
        <w:left w:val="none" w:sz="0" w:space="0" w:color="auto"/>
        <w:bottom w:val="none" w:sz="0" w:space="0" w:color="auto"/>
        <w:right w:val="none" w:sz="0" w:space="0" w:color="auto"/>
      </w:divBdr>
    </w:div>
    <w:div w:id="569122786">
      <w:bodyDiv w:val="1"/>
      <w:marLeft w:val="0"/>
      <w:marRight w:val="0"/>
      <w:marTop w:val="0"/>
      <w:marBottom w:val="0"/>
      <w:divBdr>
        <w:top w:val="none" w:sz="0" w:space="0" w:color="auto"/>
        <w:left w:val="none" w:sz="0" w:space="0" w:color="auto"/>
        <w:bottom w:val="none" w:sz="0" w:space="0" w:color="auto"/>
        <w:right w:val="none" w:sz="0" w:space="0" w:color="auto"/>
      </w:divBdr>
    </w:div>
    <w:div w:id="644625258">
      <w:bodyDiv w:val="1"/>
      <w:marLeft w:val="0"/>
      <w:marRight w:val="0"/>
      <w:marTop w:val="0"/>
      <w:marBottom w:val="0"/>
      <w:divBdr>
        <w:top w:val="none" w:sz="0" w:space="0" w:color="auto"/>
        <w:left w:val="none" w:sz="0" w:space="0" w:color="auto"/>
        <w:bottom w:val="none" w:sz="0" w:space="0" w:color="auto"/>
        <w:right w:val="none" w:sz="0" w:space="0" w:color="auto"/>
      </w:divBdr>
    </w:div>
    <w:div w:id="1091007282">
      <w:bodyDiv w:val="1"/>
      <w:marLeft w:val="0"/>
      <w:marRight w:val="0"/>
      <w:marTop w:val="0"/>
      <w:marBottom w:val="0"/>
      <w:divBdr>
        <w:top w:val="none" w:sz="0" w:space="0" w:color="auto"/>
        <w:left w:val="none" w:sz="0" w:space="0" w:color="auto"/>
        <w:bottom w:val="none" w:sz="0" w:space="0" w:color="auto"/>
        <w:right w:val="none" w:sz="0" w:space="0" w:color="auto"/>
      </w:divBdr>
    </w:div>
    <w:div w:id="1365212764">
      <w:bodyDiv w:val="1"/>
      <w:marLeft w:val="0"/>
      <w:marRight w:val="0"/>
      <w:marTop w:val="0"/>
      <w:marBottom w:val="0"/>
      <w:divBdr>
        <w:top w:val="none" w:sz="0" w:space="0" w:color="auto"/>
        <w:left w:val="none" w:sz="0" w:space="0" w:color="auto"/>
        <w:bottom w:val="none" w:sz="0" w:space="0" w:color="auto"/>
        <w:right w:val="none" w:sz="0" w:space="0" w:color="auto"/>
      </w:divBdr>
    </w:div>
    <w:div w:id="1423717701">
      <w:bodyDiv w:val="1"/>
      <w:marLeft w:val="0"/>
      <w:marRight w:val="0"/>
      <w:marTop w:val="0"/>
      <w:marBottom w:val="0"/>
      <w:divBdr>
        <w:top w:val="none" w:sz="0" w:space="0" w:color="auto"/>
        <w:left w:val="none" w:sz="0" w:space="0" w:color="auto"/>
        <w:bottom w:val="none" w:sz="0" w:space="0" w:color="auto"/>
        <w:right w:val="none" w:sz="0" w:space="0" w:color="auto"/>
      </w:divBdr>
    </w:div>
    <w:div w:id="1526408767">
      <w:bodyDiv w:val="1"/>
      <w:marLeft w:val="0"/>
      <w:marRight w:val="0"/>
      <w:marTop w:val="0"/>
      <w:marBottom w:val="0"/>
      <w:divBdr>
        <w:top w:val="none" w:sz="0" w:space="0" w:color="auto"/>
        <w:left w:val="none" w:sz="0" w:space="0" w:color="auto"/>
        <w:bottom w:val="none" w:sz="0" w:space="0" w:color="auto"/>
        <w:right w:val="none" w:sz="0" w:space="0" w:color="auto"/>
      </w:divBdr>
    </w:div>
    <w:div w:id="1566604011">
      <w:bodyDiv w:val="1"/>
      <w:marLeft w:val="0"/>
      <w:marRight w:val="0"/>
      <w:marTop w:val="0"/>
      <w:marBottom w:val="0"/>
      <w:divBdr>
        <w:top w:val="none" w:sz="0" w:space="0" w:color="auto"/>
        <w:left w:val="none" w:sz="0" w:space="0" w:color="auto"/>
        <w:bottom w:val="none" w:sz="0" w:space="0" w:color="auto"/>
        <w:right w:val="none" w:sz="0" w:space="0" w:color="auto"/>
      </w:divBdr>
    </w:div>
    <w:div w:id="1635404511">
      <w:bodyDiv w:val="1"/>
      <w:marLeft w:val="0"/>
      <w:marRight w:val="0"/>
      <w:marTop w:val="0"/>
      <w:marBottom w:val="0"/>
      <w:divBdr>
        <w:top w:val="none" w:sz="0" w:space="0" w:color="auto"/>
        <w:left w:val="none" w:sz="0" w:space="0" w:color="auto"/>
        <w:bottom w:val="none" w:sz="0" w:space="0" w:color="auto"/>
        <w:right w:val="none" w:sz="0" w:space="0" w:color="auto"/>
      </w:divBdr>
    </w:div>
    <w:div w:id="1685789461">
      <w:bodyDiv w:val="1"/>
      <w:marLeft w:val="0"/>
      <w:marRight w:val="0"/>
      <w:marTop w:val="0"/>
      <w:marBottom w:val="0"/>
      <w:divBdr>
        <w:top w:val="none" w:sz="0" w:space="0" w:color="auto"/>
        <w:left w:val="none" w:sz="0" w:space="0" w:color="auto"/>
        <w:bottom w:val="none" w:sz="0" w:space="0" w:color="auto"/>
        <w:right w:val="none" w:sz="0" w:space="0" w:color="auto"/>
      </w:divBdr>
    </w:div>
    <w:div w:id="1772508963">
      <w:bodyDiv w:val="1"/>
      <w:marLeft w:val="0"/>
      <w:marRight w:val="0"/>
      <w:marTop w:val="0"/>
      <w:marBottom w:val="0"/>
      <w:divBdr>
        <w:top w:val="none" w:sz="0" w:space="0" w:color="auto"/>
        <w:left w:val="none" w:sz="0" w:space="0" w:color="auto"/>
        <w:bottom w:val="none" w:sz="0" w:space="0" w:color="auto"/>
        <w:right w:val="none" w:sz="0" w:space="0" w:color="auto"/>
      </w:divBdr>
    </w:div>
    <w:div w:id="1782526736">
      <w:bodyDiv w:val="1"/>
      <w:marLeft w:val="0"/>
      <w:marRight w:val="0"/>
      <w:marTop w:val="0"/>
      <w:marBottom w:val="0"/>
      <w:divBdr>
        <w:top w:val="none" w:sz="0" w:space="0" w:color="auto"/>
        <w:left w:val="none" w:sz="0" w:space="0" w:color="auto"/>
        <w:bottom w:val="none" w:sz="0" w:space="0" w:color="auto"/>
        <w:right w:val="none" w:sz="0" w:space="0" w:color="auto"/>
      </w:divBdr>
    </w:div>
    <w:div w:id="1885287996">
      <w:bodyDiv w:val="1"/>
      <w:marLeft w:val="0"/>
      <w:marRight w:val="0"/>
      <w:marTop w:val="0"/>
      <w:marBottom w:val="0"/>
      <w:divBdr>
        <w:top w:val="none" w:sz="0" w:space="0" w:color="auto"/>
        <w:left w:val="none" w:sz="0" w:space="0" w:color="auto"/>
        <w:bottom w:val="none" w:sz="0" w:space="0" w:color="auto"/>
        <w:right w:val="none" w:sz="0" w:space="0" w:color="auto"/>
      </w:divBdr>
    </w:div>
    <w:div w:id="19446071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2.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tiff"/><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5</Pages>
  <Words>1503</Words>
  <Characters>8569</Characters>
  <Application>Microsoft Office Word</Application>
  <DocSecurity>0</DocSecurity>
  <Lines>71</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간 수진</cp:lastModifiedBy>
  <cp:revision>6</cp:revision>
  <dcterms:created xsi:type="dcterms:W3CDTF">2025-07-01T12:30:00Z</dcterms:created>
  <dcterms:modified xsi:type="dcterms:W3CDTF">2025-07-01T23:54:00Z</dcterms:modified>
</cp:coreProperties>
</file>